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6EF8B" w14:textId="4A45DDF5" w:rsidR="00793F85" w:rsidRPr="00A64FD3" w:rsidRDefault="00793F85" w:rsidP="00242FD9">
      <w:pPr>
        <w:spacing w:line="276" w:lineRule="auto"/>
        <w:jc w:val="both"/>
        <w:rPr>
          <w:rFonts w:ascii="Century Gothic" w:hAnsi="Century Gothic"/>
          <w:sz w:val="21"/>
          <w:szCs w:val="21"/>
        </w:rPr>
      </w:pPr>
      <w:r w:rsidRPr="00A64FD3">
        <w:rPr>
          <w:rFonts w:ascii="Century Gothic" w:hAnsi="Century Gothic"/>
          <w:sz w:val="21"/>
          <w:szCs w:val="21"/>
        </w:rPr>
        <w:t xml:space="preserve">Bogotá D.C., </w:t>
      </w:r>
      <w:r w:rsidR="000A12EF" w:rsidRPr="00A64FD3">
        <w:rPr>
          <w:rFonts w:ascii="Century Gothic" w:hAnsi="Century Gothic"/>
          <w:sz w:val="21"/>
          <w:szCs w:val="21"/>
        </w:rPr>
        <w:t>noviembre</w:t>
      </w:r>
      <w:r w:rsidR="00672A4B" w:rsidRPr="00A64FD3">
        <w:rPr>
          <w:rFonts w:ascii="Century Gothic" w:hAnsi="Century Gothic"/>
          <w:sz w:val="21"/>
          <w:szCs w:val="21"/>
        </w:rPr>
        <w:t xml:space="preserve"> </w:t>
      </w:r>
      <w:r w:rsidRPr="00A64FD3">
        <w:rPr>
          <w:rFonts w:ascii="Century Gothic" w:hAnsi="Century Gothic"/>
          <w:sz w:val="21"/>
          <w:szCs w:val="21"/>
        </w:rPr>
        <w:t>2019</w:t>
      </w:r>
    </w:p>
    <w:p w14:paraId="0F30F29D" w14:textId="77777777" w:rsidR="00231373" w:rsidRPr="00A64FD3" w:rsidRDefault="00231373" w:rsidP="00793F85">
      <w:pPr>
        <w:pStyle w:val="Sinespaciado"/>
        <w:spacing w:line="276" w:lineRule="auto"/>
        <w:rPr>
          <w:rFonts w:ascii="Century Gothic" w:hAnsi="Century Gothic" w:cs="Times New Roman"/>
          <w:sz w:val="21"/>
          <w:szCs w:val="21"/>
        </w:rPr>
      </w:pPr>
    </w:p>
    <w:p w14:paraId="66D07665" w14:textId="20B9B3BC" w:rsidR="00793F85" w:rsidRPr="00A64FD3" w:rsidRDefault="00793F85" w:rsidP="00793F85">
      <w:pPr>
        <w:pStyle w:val="Sinespaciado"/>
        <w:spacing w:line="276" w:lineRule="auto"/>
        <w:rPr>
          <w:rFonts w:ascii="Century Gothic" w:hAnsi="Century Gothic" w:cs="Times New Roman"/>
          <w:sz w:val="21"/>
          <w:szCs w:val="21"/>
        </w:rPr>
      </w:pPr>
      <w:r w:rsidRPr="00A64FD3">
        <w:rPr>
          <w:rFonts w:ascii="Century Gothic" w:hAnsi="Century Gothic" w:cs="Times New Roman"/>
          <w:sz w:val="21"/>
          <w:szCs w:val="21"/>
        </w:rPr>
        <w:t>Doctor</w:t>
      </w:r>
    </w:p>
    <w:p w14:paraId="665AE4CB" w14:textId="77777777" w:rsidR="00793F85" w:rsidRPr="00A64FD3" w:rsidRDefault="00793F85" w:rsidP="00793F85">
      <w:pPr>
        <w:pStyle w:val="Sinespaciado"/>
        <w:spacing w:line="276" w:lineRule="auto"/>
        <w:rPr>
          <w:rFonts w:ascii="Century Gothic" w:hAnsi="Century Gothic" w:cs="Times New Roman"/>
          <w:b/>
          <w:sz w:val="21"/>
          <w:szCs w:val="21"/>
        </w:rPr>
      </w:pPr>
      <w:r w:rsidRPr="00A64FD3">
        <w:rPr>
          <w:rFonts w:ascii="Century Gothic" w:hAnsi="Century Gothic" w:cs="Times New Roman"/>
          <w:b/>
          <w:sz w:val="21"/>
          <w:szCs w:val="21"/>
        </w:rPr>
        <w:t>JUAN CARLOS LOZADA VARGAS</w:t>
      </w:r>
    </w:p>
    <w:p w14:paraId="4808335C" w14:textId="77777777" w:rsidR="00793F85" w:rsidRPr="00A64FD3" w:rsidRDefault="00793F85" w:rsidP="00793F85">
      <w:pPr>
        <w:pStyle w:val="Sinespaciado"/>
        <w:spacing w:line="276" w:lineRule="auto"/>
        <w:rPr>
          <w:rFonts w:ascii="Century Gothic" w:hAnsi="Century Gothic" w:cs="Times New Roman"/>
          <w:sz w:val="21"/>
          <w:szCs w:val="21"/>
        </w:rPr>
      </w:pPr>
      <w:r w:rsidRPr="00A64FD3">
        <w:rPr>
          <w:rFonts w:ascii="Century Gothic" w:hAnsi="Century Gothic" w:cs="Times New Roman"/>
          <w:sz w:val="21"/>
          <w:szCs w:val="21"/>
        </w:rPr>
        <w:t>Presidente</w:t>
      </w:r>
      <w:bookmarkStart w:id="0" w:name="_GoBack"/>
      <w:bookmarkEnd w:id="0"/>
    </w:p>
    <w:p w14:paraId="7DA734AC" w14:textId="77777777" w:rsidR="00793F85" w:rsidRPr="00A64FD3" w:rsidRDefault="00793F85" w:rsidP="00793F85">
      <w:pPr>
        <w:pStyle w:val="Sinespaciado"/>
        <w:spacing w:line="276" w:lineRule="auto"/>
        <w:rPr>
          <w:rFonts w:ascii="Century Gothic" w:hAnsi="Century Gothic" w:cs="Times New Roman"/>
          <w:sz w:val="21"/>
          <w:szCs w:val="21"/>
        </w:rPr>
      </w:pPr>
      <w:r w:rsidRPr="00A64FD3">
        <w:rPr>
          <w:rFonts w:ascii="Century Gothic" w:hAnsi="Century Gothic" w:cs="Times New Roman"/>
          <w:sz w:val="21"/>
          <w:szCs w:val="21"/>
        </w:rPr>
        <w:t>Comisión Primera Constitucional Permanente</w:t>
      </w:r>
    </w:p>
    <w:p w14:paraId="129CAC0A" w14:textId="77777777" w:rsidR="00793F85" w:rsidRPr="00A64FD3" w:rsidRDefault="00793F85" w:rsidP="00793F85">
      <w:pPr>
        <w:pStyle w:val="Sinespaciado"/>
        <w:spacing w:line="276" w:lineRule="auto"/>
        <w:rPr>
          <w:rFonts w:ascii="Century Gothic" w:hAnsi="Century Gothic" w:cs="Times New Roman"/>
          <w:sz w:val="21"/>
          <w:szCs w:val="21"/>
        </w:rPr>
      </w:pPr>
      <w:r w:rsidRPr="00A64FD3">
        <w:rPr>
          <w:rFonts w:ascii="Century Gothic" w:hAnsi="Century Gothic" w:cs="Times New Roman"/>
          <w:sz w:val="21"/>
          <w:szCs w:val="21"/>
        </w:rPr>
        <w:t>Cámara de Representantes</w:t>
      </w:r>
    </w:p>
    <w:p w14:paraId="1F80B15C" w14:textId="77777777" w:rsidR="00793F85" w:rsidRPr="00A64FD3" w:rsidRDefault="00793F85" w:rsidP="00793F85">
      <w:pPr>
        <w:spacing w:after="240"/>
        <w:jc w:val="both"/>
        <w:rPr>
          <w:rFonts w:ascii="Century Gothic" w:hAnsi="Century Gothic"/>
          <w:sz w:val="21"/>
          <w:szCs w:val="21"/>
        </w:rPr>
      </w:pPr>
    </w:p>
    <w:p w14:paraId="13C1424B" w14:textId="6A7A8B5E" w:rsidR="00242FD9" w:rsidRPr="00A64FD3" w:rsidRDefault="00793F85" w:rsidP="00672A4B">
      <w:pPr>
        <w:spacing w:line="276" w:lineRule="auto"/>
        <w:jc w:val="both"/>
        <w:rPr>
          <w:rFonts w:ascii="Century Gothic" w:eastAsia="Quattrocento Sans" w:hAnsi="Century Gothic" w:cs="Segoe UI"/>
          <w:i/>
          <w:sz w:val="21"/>
          <w:szCs w:val="21"/>
        </w:rPr>
      </w:pPr>
      <w:r w:rsidRPr="00A64FD3">
        <w:rPr>
          <w:rFonts w:ascii="Century Gothic" w:hAnsi="Century Gothic"/>
          <w:b/>
          <w:sz w:val="21"/>
          <w:szCs w:val="21"/>
        </w:rPr>
        <w:t>Asunto:</w:t>
      </w:r>
      <w:r w:rsidR="000A12EF" w:rsidRPr="00A64FD3">
        <w:rPr>
          <w:rFonts w:ascii="Century Gothic" w:hAnsi="Century Gothic"/>
          <w:sz w:val="21"/>
          <w:szCs w:val="21"/>
        </w:rPr>
        <w:t xml:space="preserve"> Informe de ponencia para segundo</w:t>
      </w:r>
      <w:r w:rsidRPr="00A64FD3">
        <w:rPr>
          <w:rFonts w:ascii="Century Gothic" w:hAnsi="Century Gothic"/>
          <w:sz w:val="21"/>
          <w:szCs w:val="21"/>
        </w:rPr>
        <w:t xml:space="preserve"> debate al Proyecto de </w:t>
      </w:r>
      <w:r w:rsidR="00672A4B" w:rsidRPr="00A64FD3">
        <w:rPr>
          <w:rFonts w:ascii="Century Gothic" w:eastAsia="Quattrocento Sans" w:hAnsi="Century Gothic" w:cs="Segoe UI"/>
          <w:sz w:val="21"/>
          <w:szCs w:val="21"/>
        </w:rPr>
        <w:t xml:space="preserve">Ley No. 125 de 2019 Cámara </w:t>
      </w:r>
      <w:r w:rsidR="00242FD9" w:rsidRPr="00A64FD3">
        <w:rPr>
          <w:rFonts w:ascii="Century Gothic" w:eastAsia="Quattrocento Sans" w:hAnsi="Century Gothic" w:cs="Segoe UI"/>
          <w:sz w:val="21"/>
          <w:szCs w:val="21"/>
        </w:rPr>
        <w:t xml:space="preserve">acumulado con el Proyecto de Ley No. 180 de 2019 Cámara </w:t>
      </w:r>
      <w:r w:rsidR="000A12EF" w:rsidRPr="00A64FD3">
        <w:rPr>
          <w:rFonts w:ascii="Century Gothic" w:eastAsia="Quattrocento Sans" w:hAnsi="Century Gothic" w:cs="Segoe UI"/>
          <w:i/>
          <w:sz w:val="21"/>
          <w:szCs w:val="21"/>
        </w:rPr>
        <w:t xml:space="preserve">“Por la cual se declara imprescriptible la acción penal en caso de delitos contra la libertad, integridad y formación sexuales, o el delito consagrado en el artículo 237 de la Ley 599 de 2000, cometidos en menores de 18 años” -  </w:t>
      </w:r>
      <w:r w:rsidR="000A12EF" w:rsidRPr="00A64FD3">
        <w:rPr>
          <w:rFonts w:ascii="Century Gothic" w:eastAsia="Quattrocento Sans" w:hAnsi="Century Gothic" w:cs="Segoe UI"/>
          <w:sz w:val="21"/>
          <w:szCs w:val="21"/>
        </w:rPr>
        <w:t>No más silencio.</w:t>
      </w:r>
    </w:p>
    <w:p w14:paraId="5E5044EA" w14:textId="77777777" w:rsidR="000A12EF" w:rsidRPr="00A64FD3" w:rsidRDefault="000A12EF" w:rsidP="000A12EF">
      <w:pPr>
        <w:jc w:val="both"/>
        <w:rPr>
          <w:rFonts w:ascii="Century Gothic" w:hAnsi="Century Gothic"/>
          <w:sz w:val="21"/>
          <w:szCs w:val="21"/>
        </w:rPr>
      </w:pPr>
    </w:p>
    <w:p w14:paraId="314A1E94" w14:textId="399EF8FD" w:rsidR="00793F85" w:rsidRPr="00A64FD3" w:rsidRDefault="00793F85" w:rsidP="00793F85">
      <w:pPr>
        <w:spacing w:after="240" w:line="276" w:lineRule="auto"/>
        <w:jc w:val="both"/>
        <w:rPr>
          <w:rFonts w:ascii="Century Gothic" w:hAnsi="Century Gothic"/>
          <w:sz w:val="21"/>
          <w:szCs w:val="21"/>
        </w:rPr>
      </w:pPr>
      <w:r w:rsidRPr="00A64FD3">
        <w:rPr>
          <w:rFonts w:ascii="Century Gothic" w:hAnsi="Century Gothic"/>
          <w:sz w:val="21"/>
          <w:szCs w:val="21"/>
        </w:rPr>
        <w:t>Apreciado Presidente:</w:t>
      </w:r>
    </w:p>
    <w:p w14:paraId="2C68424D" w14:textId="2E0727A4" w:rsidR="0064183B" w:rsidRPr="00A64FD3" w:rsidRDefault="00793F85" w:rsidP="0064183B">
      <w:pPr>
        <w:spacing w:after="240" w:line="276" w:lineRule="auto"/>
        <w:jc w:val="both"/>
        <w:rPr>
          <w:rFonts w:ascii="Century Gothic" w:hAnsi="Century Gothic"/>
          <w:sz w:val="21"/>
          <w:szCs w:val="21"/>
        </w:rPr>
      </w:pPr>
      <w:r w:rsidRPr="00A64FD3">
        <w:rPr>
          <w:rFonts w:ascii="Century Gothic" w:hAnsi="Century Gothic"/>
          <w:sz w:val="21"/>
          <w:szCs w:val="21"/>
        </w:rPr>
        <w:t>En cumplimiento del encargo que nos hiciera la Mesa Directiva de la Comisión Pr</w:t>
      </w:r>
      <w:r w:rsidR="000A12EF" w:rsidRPr="00A64FD3">
        <w:rPr>
          <w:rFonts w:ascii="Century Gothic" w:hAnsi="Century Gothic"/>
          <w:sz w:val="21"/>
          <w:szCs w:val="21"/>
        </w:rPr>
        <w:t xml:space="preserve">imera Constitucional Permanente, </w:t>
      </w:r>
      <w:r w:rsidRPr="00A64FD3">
        <w:rPr>
          <w:rFonts w:ascii="Century Gothic" w:hAnsi="Century Gothic"/>
          <w:sz w:val="21"/>
          <w:szCs w:val="21"/>
        </w:rPr>
        <w:t xml:space="preserve">nos permitimos radicar el informe de </w:t>
      </w:r>
      <w:r w:rsidRPr="00A64FD3">
        <w:rPr>
          <w:rFonts w:ascii="Century Gothic" w:hAnsi="Century Gothic"/>
          <w:b/>
          <w:sz w:val="21"/>
          <w:szCs w:val="21"/>
        </w:rPr>
        <w:t>ponencia positiva</w:t>
      </w:r>
      <w:r w:rsidRPr="00A64FD3">
        <w:rPr>
          <w:rFonts w:ascii="Century Gothic" w:hAnsi="Century Gothic"/>
          <w:sz w:val="21"/>
          <w:szCs w:val="21"/>
        </w:rPr>
        <w:t xml:space="preserve"> </w:t>
      </w:r>
      <w:r w:rsidR="0064183B" w:rsidRPr="00A64FD3">
        <w:rPr>
          <w:rFonts w:ascii="Century Gothic" w:hAnsi="Century Gothic"/>
          <w:sz w:val="21"/>
          <w:szCs w:val="21"/>
        </w:rPr>
        <w:t>a los Proyectos de Ley acumulados y referidos en el asunto.</w:t>
      </w:r>
    </w:p>
    <w:p w14:paraId="78C9470E" w14:textId="77777777" w:rsidR="00231373" w:rsidRPr="00A64FD3" w:rsidRDefault="00231373" w:rsidP="000A12EF">
      <w:pPr>
        <w:rPr>
          <w:rFonts w:ascii="Century Gothic" w:hAnsi="Century Gothic" w:cs="Segoe UI"/>
          <w:b/>
          <w:sz w:val="21"/>
          <w:szCs w:val="21"/>
        </w:rPr>
      </w:pPr>
    </w:p>
    <w:p w14:paraId="2351E66F" w14:textId="4353D631" w:rsidR="0064183B" w:rsidRPr="00A64FD3" w:rsidRDefault="00793F85" w:rsidP="000A12EF">
      <w:pPr>
        <w:jc w:val="center"/>
        <w:rPr>
          <w:rFonts w:ascii="Century Gothic" w:eastAsia="Quattrocento Sans" w:hAnsi="Century Gothic" w:cs="Segoe UI"/>
          <w:b/>
          <w:sz w:val="21"/>
          <w:szCs w:val="21"/>
        </w:rPr>
      </w:pPr>
      <w:r w:rsidRPr="00A64FD3">
        <w:rPr>
          <w:rFonts w:ascii="Century Gothic" w:hAnsi="Century Gothic" w:cs="Segoe UI"/>
          <w:b/>
          <w:sz w:val="21"/>
          <w:szCs w:val="21"/>
        </w:rPr>
        <w:t xml:space="preserve">INFORME DE PONENCIA PARA </w:t>
      </w:r>
      <w:r w:rsidR="000A12EF" w:rsidRPr="00A64FD3">
        <w:rPr>
          <w:rFonts w:ascii="Century Gothic" w:hAnsi="Century Gothic" w:cs="Segoe UI"/>
          <w:b/>
          <w:sz w:val="21"/>
          <w:szCs w:val="21"/>
        </w:rPr>
        <w:t>SEGUNDO</w:t>
      </w:r>
      <w:r w:rsidRPr="00A64FD3">
        <w:rPr>
          <w:rFonts w:ascii="Century Gothic" w:hAnsi="Century Gothic" w:cs="Segoe UI"/>
          <w:b/>
          <w:sz w:val="21"/>
          <w:szCs w:val="21"/>
        </w:rPr>
        <w:t xml:space="preserve"> DEBATE AL PROYECTO DE </w:t>
      </w:r>
      <w:r w:rsidR="001A46D6" w:rsidRPr="00A64FD3">
        <w:rPr>
          <w:rFonts w:ascii="Century Gothic" w:hAnsi="Century Gothic" w:cs="Segoe UI"/>
          <w:b/>
          <w:sz w:val="21"/>
          <w:szCs w:val="21"/>
        </w:rPr>
        <w:t xml:space="preserve">LEY </w:t>
      </w:r>
      <w:r w:rsidR="00D9361A" w:rsidRPr="00A64FD3">
        <w:rPr>
          <w:rFonts w:ascii="Century Gothic" w:hAnsi="Century Gothic" w:cs="Segoe UI"/>
          <w:b/>
          <w:sz w:val="21"/>
          <w:szCs w:val="21"/>
        </w:rPr>
        <w:t>N</w:t>
      </w:r>
      <w:r w:rsidR="00242FD9" w:rsidRPr="00A64FD3">
        <w:rPr>
          <w:rFonts w:ascii="Century Gothic" w:hAnsi="Century Gothic" w:cs="Segoe UI"/>
          <w:b/>
          <w:sz w:val="21"/>
          <w:szCs w:val="21"/>
        </w:rPr>
        <w:t xml:space="preserve">. </w:t>
      </w:r>
      <w:r w:rsidR="001A46D6" w:rsidRPr="00A64FD3">
        <w:rPr>
          <w:rFonts w:ascii="Century Gothic" w:hAnsi="Century Gothic" w:cs="Segoe UI"/>
          <w:b/>
          <w:sz w:val="21"/>
          <w:szCs w:val="21"/>
        </w:rPr>
        <w:t>125</w:t>
      </w:r>
      <w:r w:rsidRPr="00A64FD3">
        <w:rPr>
          <w:rFonts w:ascii="Century Gothic" w:hAnsi="Century Gothic" w:cs="Segoe UI"/>
          <w:b/>
          <w:sz w:val="21"/>
          <w:szCs w:val="21"/>
        </w:rPr>
        <w:t xml:space="preserve"> DE 2019 CÁMARA</w:t>
      </w:r>
      <w:r w:rsidR="00242FD9" w:rsidRPr="00A64FD3">
        <w:rPr>
          <w:rFonts w:ascii="Century Gothic" w:hAnsi="Century Gothic" w:cs="Segoe UI"/>
          <w:b/>
          <w:sz w:val="21"/>
          <w:szCs w:val="21"/>
        </w:rPr>
        <w:t xml:space="preserve"> </w:t>
      </w:r>
      <w:r w:rsidR="00242FD9" w:rsidRPr="00A64FD3">
        <w:rPr>
          <w:rFonts w:ascii="Century Gothic" w:eastAsia="Quattrocento Sans" w:hAnsi="Century Gothic" w:cs="Segoe UI"/>
          <w:b/>
          <w:sz w:val="21"/>
          <w:szCs w:val="21"/>
        </w:rPr>
        <w:t>ACU</w:t>
      </w:r>
      <w:r w:rsidR="00D9361A" w:rsidRPr="00A64FD3">
        <w:rPr>
          <w:rFonts w:ascii="Century Gothic" w:eastAsia="Quattrocento Sans" w:hAnsi="Century Gothic" w:cs="Segoe UI"/>
          <w:b/>
          <w:sz w:val="21"/>
          <w:szCs w:val="21"/>
        </w:rPr>
        <w:t>MULADO CON EL PROYECTO DE LEY N</w:t>
      </w:r>
      <w:r w:rsidR="00242FD9" w:rsidRPr="00A64FD3">
        <w:rPr>
          <w:rFonts w:ascii="Century Gothic" w:eastAsia="Quattrocento Sans" w:hAnsi="Century Gothic" w:cs="Segoe UI"/>
          <w:b/>
          <w:sz w:val="21"/>
          <w:szCs w:val="21"/>
        </w:rPr>
        <w:t xml:space="preserve">. 180 DE 2019 CÁMARA </w:t>
      </w:r>
    </w:p>
    <w:p w14:paraId="7A418B62" w14:textId="77777777" w:rsidR="000A12EF" w:rsidRPr="00A64FD3" w:rsidRDefault="000A12EF" w:rsidP="000A12EF">
      <w:pPr>
        <w:jc w:val="center"/>
        <w:rPr>
          <w:rFonts w:ascii="Century Gothic" w:eastAsia="Quattrocento Sans" w:hAnsi="Century Gothic" w:cs="Segoe UI"/>
          <w:b/>
          <w:sz w:val="21"/>
          <w:szCs w:val="21"/>
        </w:rPr>
      </w:pPr>
    </w:p>
    <w:p w14:paraId="3F8D2091" w14:textId="24273F28" w:rsidR="000A12EF" w:rsidRPr="00A64FD3" w:rsidRDefault="000A12EF" w:rsidP="00985953">
      <w:pPr>
        <w:spacing w:line="276" w:lineRule="auto"/>
        <w:jc w:val="center"/>
        <w:rPr>
          <w:rFonts w:ascii="Century Gothic" w:hAnsi="Century Gothic" w:cs="Segoe UI"/>
          <w:b/>
          <w:sz w:val="21"/>
          <w:szCs w:val="21"/>
        </w:rPr>
      </w:pPr>
      <w:r w:rsidRPr="00A64FD3">
        <w:rPr>
          <w:rFonts w:ascii="Century Gothic" w:eastAsia="Quattrocento Sans" w:hAnsi="Century Gothic" w:cs="Segoe UI"/>
          <w:i/>
          <w:sz w:val="21"/>
          <w:szCs w:val="21"/>
        </w:rPr>
        <w:t xml:space="preserve">“Por la cual se declara imprescriptible la acción penal en caso de delitos contra la libertad, integridad y formación sexuales, o el delito consagrado en el artículo 237 de la Ley 599 de 2000, cometidos en menores de 18 años” -  </w:t>
      </w:r>
      <w:r w:rsidRPr="00A64FD3">
        <w:rPr>
          <w:rFonts w:ascii="Century Gothic" w:eastAsia="Quattrocento Sans" w:hAnsi="Century Gothic" w:cs="Segoe UI"/>
          <w:sz w:val="21"/>
          <w:szCs w:val="21"/>
        </w:rPr>
        <w:t>No más silencio</w:t>
      </w:r>
    </w:p>
    <w:p w14:paraId="00994E0F" w14:textId="77777777" w:rsidR="001A46D6" w:rsidRDefault="001A46D6" w:rsidP="001A46D6">
      <w:pPr>
        <w:spacing w:line="276" w:lineRule="auto"/>
        <w:jc w:val="both"/>
        <w:rPr>
          <w:rFonts w:ascii="Century Gothic" w:eastAsia="Quattrocento Sans" w:hAnsi="Century Gothic" w:cs="Segoe UI"/>
          <w:sz w:val="21"/>
          <w:szCs w:val="21"/>
        </w:rPr>
      </w:pPr>
    </w:p>
    <w:p w14:paraId="422B08EC" w14:textId="77777777" w:rsidR="00793F85" w:rsidRPr="000E069D" w:rsidRDefault="00793F85" w:rsidP="00793F85">
      <w:pPr>
        <w:spacing w:after="240" w:line="276" w:lineRule="auto"/>
        <w:jc w:val="both"/>
        <w:rPr>
          <w:rFonts w:ascii="Century Gothic" w:hAnsi="Century Gothic"/>
          <w:color w:val="000000" w:themeColor="text1"/>
          <w:sz w:val="21"/>
          <w:szCs w:val="21"/>
        </w:rPr>
      </w:pPr>
      <w:r w:rsidRPr="000E069D">
        <w:rPr>
          <w:rFonts w:ascii="Century Gothic" w:hAnsi="Century Gothic"/>
          <w:sz w:val="21"/>
          <w:szCs w:val="21"/>
        </w:rPr>
        <w:t xml:space="preserve">La </w:t>
      </w:r>
      <w:r w:rsidRPr="000E069D">
        <w:rPr>
          <w:rFonts w:ascii="Century Gothic" w:hAnsi="Century Gothic"/>
          <w:color w:val="000000" w:themeColor="text1"/>
          <w:sz w:val="21"/>
          <w:szCs w:val="21"/>
        </w:rPr>
        <w:t xml:space="preserve">presente ponencia consta de las siguientes partes: </w:t>
      </w:r>
    </w:p>
    <w:p w14:paraId="187EBE39" w14:textId="4581ABE1" w:rsidR="00C31434" w:rsidRPr="00C31434" w:rsidRDefault="00242FD9" w:rsidP="00C31434">
      <w:pPr>
        <w:numPr>
          <w:ilvl w:val="0"/>
          <w:numId w:val="15"/>
        </w:numPr>
        <w:spacing w:line="276" w:lineRule="auto"/>
        <w:jc w:val="both"/>
        <w:rPr>
          <w:rFonts w:ascii="Century Gothic" w:eastAsia="Quattrocento Sans" w:hAnsi="Century Gothic" w:cs="Segoe UI"/>
          <w:sz w:val="21"/>
          <w:szCs w:val="21"/>
        </w:rPr>
      </w:pPr>
      <w:r>
        <w:rPr>
          <w:rFonts w:ascii="Century Gothic" w:eastAsia="Quattrocento Sans" w:hAnsi="Century Gothic" w:cs="Segoe UI"/>
          <w:b/>
          <w:sz w:val="21"/>
          <w:szCs w:val="21"/>
        </w:rPr>
        <w:t>ANTECEDENTES DE LOS</w:t>
      </w:r>
      <w:r w:rsidR="00C31434" w:rsidRPr="00196F70">
        <w:rPr>
          <w:rFonts w:ascii="Century Gothic" w:eastAsia="Quattrocento Sans" w:hAnsi="Century Gothic" w:cs="Segoe UI"/>
          <w:b/>
          <w:sz w:val="21"/>
          <w:szCs w:val="21"/>
        </w:rPr>
        <w:t xml:space="preserve"> PROYECTO</w:t>
      </w:r>
      <w:r>
        <w:rPr>
          <w:rFonts w:ascii="Century Gothic" w:eastAsia="Quattrocento Sans" w:hAnsi="Century Gothic" w:cs="Segoe UI"/>
          <w:b/>
          <w:sz w:val="21"/>
          <w:szCs w:val="21"/>
        </w:rPr>
        <w:t>S</w:t>
      </w:r>
      <w:r w:rsidR="00C31434">
        <w:rPr>
          <w:rFonts w:ascii="Century Gothic" w:eastAsia="Quattrocento Sans" w:hAnsi="Century Gothic" w:cs="Segoe UI"/>
          <w:b/>
          <w:sz w:val="21"/>
          <w:szCs w:val="21"/>
        </w:rPr>
        <w:t>.</w:t>
      </w:r>
    </w:p>
    <w:p w14:paraId="083B2CDA" w14:textId="5FA2B69A" w:rsidR="00C31434" w:rsidRPr="003D7041" w:rsidRDefault="00C31434" w:rsidP="00C31434">
      <w:pPr>
        <w:numPr>
          <w:ilvl w:val="0"/>
          <w:numId w:val="15"/>
        </w:numPr>
        <w:spacing w:line="276" w:lineRule="auto"/>
        <w:jc w:val="both"/>
        <w:rPr>
          <w:rFonts w:ascii="Century Gothic" w:eastAsia="Quattrocento Sans" w:hAnsi="Century Gothic" w:cs="Segoe UI"/>
          <w:sz w:val="21"/>
          <w:szCs w:val="21"/>
        </w:rPr>
      </w:pPr>
      <w:r>
        <w:rPr>
          <w:rFonts w:ascii="Century Gothic" w:eastAsia="Quattrocento Sans" w:hAnsi="Century Gothic" w:cs="Segoe UI"/>
          <w:b/>
          <w:sz w:val="21"/>
          <w:szCs w:val="21"/>
        </w:rPr>
        <w:t>OBJ</w:t>
      </w:r>
      <w:r w:rsidR="008C0AE4">
        <w:rPr>
          <w:rFonts w:ascii="Century Gothic" w:eastAsia="Quattrocento Sans" w:hAnsi="Century Gothic" w:cs="Segoe UI"/>
          <w:b/>
          <w:sz w:val="21"/>
          <w:szCs w:val="21"/>
        </w:rPr>
        <w:t>ET</w:t>
      </w:r>
      <w:r w:rsidRPr="00196F70">
        <w:rPr>
          <w:rFonts w:ascii="Century Gothic" w:eastAsia="Quattrocento Sans" w:hAnsi="Century Gothic" w:cs="Segoe UI"/>
          <w:b/>
          <w:sz w:val="21"/>
          <w:szCs w:val="21"/>
        </w:rPr>
        <w:t xml:space="preserve">O </w:t>
      </w:r>
      <w:r w:rsidR="00D46CAD">
        <w:rPr>
          <w:rFonts w:ascii="Century Gothic" w:eastAsia="Quattrocento Sans" w:hAnsi="Century Gothic" w:cs="Segoe UI"/>
          <w:b/>
          <w:sz w:val="21"/>
          <w:szCs w:val="21"/>
        </w:rPr>
        <w:t>DE LAS INICIATIVAS.</w:t>
      </w:r>
    </w:p>
    <w:p w14:paraId="028CF60A" w14:textId="77777777" w:rsidR="00C31434" w:rsidRDefault="00C31434" w:rsidP="00C31434">
      <w:pPr>
        <w:numPr>
          <w:ilvl w:val="0"/>
          <w:numId w:val="15"/>
        </w:numPr>
        <w:pBdr>
          <w:top w:val="nil"/>
          <w:left w:val="nil"/>
          <w:bottom w:val="nil"/>
          <w:right w:val="nil"/>
          <w:between w:val="nil"/>
        </w:pBdr>
        <w:spacing w:line="276" w:lineRule="auto"/>
        <w:jc w:val="both"/>
        <w:rPr>
          <w:rFonts w:ascii="Century Gothic" w:eastAsia="Quattrocento Sans" w:hAnsi="Century Gothic" w:cs="Segoe UI"/>
          <w:b/>
          <w:color w:val="000000"/>
          <w:sz w:val="21"/>
          <w:szCs w:val="21"/>
        </w:rPr>
      </w:pPr>
      <w:r w:rsidRPr="00196F70">
        <w:rPr>
          <w:rFonts w:ascii="Century Gothic" w:eastAsia="Quattrocento Sans" w:hAnsi="Century Gothic" w:cs="Segoe UI"/>
          <w:b/>
          <w:color w:val="000000"/>
          <w:sz w:val="21"/>
          <w:szCs w:val="21"/>
        </w:rPr>
        <w:t>LA PRESCRIPCIÓN DE LA ACCIÓN PENAL PARA DELITOS SEXUALES COMETIDOS EN CONTRA DE MENORES.</w:t>
      </w:r>
    </w:p>
    <w:p w14:paraId="11874E93" w14:textId="1683E1C8" w:rsidR="00C31434" w:rsidRPr="00C31434" w:rsidRDefault="00C31434" w:rsidP="00C31434">
      <w:pPr>
        <w:numPr>
          <w:ilvl w:val="0"/>
          <w:numId w:val="15"/>
        </w:numPr>
        <w:pBdr>
          <w:top w:val="nil"/>
          <w:left w:val="nil"/>
          <w:bottom w:val="nil"/>
          <w:right w:val="nil"/>
          <w:between w:val="nil"/>
        </w:pBdr>
        <w:spacing w:line="276" w:lineRule="auto"/>
        <w:jc w:val="both"/>
        <w:rPr>
          <w:rFonts w:ascii="Century Gothic" w:eastAsia="Quattrocento Sans" w:hAnsi="Century Gothic" w:cs="Segoe UI"/>
          <w:b/>
          <w:color w:val="000000"/>
          <w:sz w:val="21"/>
          <w:szCs w:val="21"/>
        </w:rPr>
      </w:pPr>
      <w:r w:rsidRPr="00C31434">
        <w:rPr>
          <w:rFonts w:ascii="Century Gothic" w:eastAsia="Quattrocento Sans" w:hAnsi="Century Gothic" w:cs="Segoe UI"/>
          <w:b/>
          <w:color w:val="000000"/>
          <w:sz w:val="21"/>
          <w:szCs w:val="21"/>
        </w:rPr>
        <w:t>DERECHO COMPARADO</w:t>
      </w:r>
      <w:r w:rsidR="001A7A8E">
        <w:rPr>
          <w:rFonts w:ascii="Century Gothic" w:eastAsia="Quattrocento Sans" w:hAnsi="Century Gothic" w:cs="Segoe UI"/>
          <w:b/>
          <w:color w:val="000000"/>
          <w:sz w:val="21"/>
          <w:szCs w:val="21"/>
        </w:rPr>
        <w:t>.</w:t>
      </w:r>
    </w:p>
    <w:p w14:paraId="0EDD3074" w14:textId="42EB7F90" w:rsidR="00451260" w:rsidRDefault="00451260" w:rsidP="00451260">
      <w:pPr>
        <w:pStyle w:val="Prrafodelista"/>
        <w:numPr>
          <w:ilvl w:val="0"/>
          <w:numId w:val="15"/>
        </w:numPr>
        <w:pBdr>
          <w:top w:val="nil"/>
          <w:left w:val="nil"/>
          <w:bottom w:val="nil"/>
          <w:right w:val="nil"/>
          <w:between w:val="nil"/>
        </w:pBdr>
        <w:rPr>
          <w:rFonts w:ascii="Century Gothic" w:eastAsia="Quattrocento Sans" w:hAnsi="Century Gothic" w:cs="Segoe UI"/>
          <w:b/>
          <w:color w:val="000000"/>
          <w:sz w:val="21"/>
          <w:szCs w:val="21"/>
        </w:rPr>
      </w:pPr>
      <w:r w:rsidRPr="00451260">
        <w:rPr>
          <w:rFonts w:ascii="Century Gothic" w:eastAsia="Quattrocento Sans" w:hAnsi="Century Gothic" w:cs="Segoe UI"/>
          <w:b/>
          <w:color w:val="000000"/>
          <w:sz w:val="21"/>
          <w:szCs w:val="21"/>
        </w:rPr>
        <w:t>CONSTITUCIONALIDAD DE LA</w:t>
      </w:r>
      <w:r w:rsidR="002C1C1D">
        <w:rPr>
          <w:rFonts w:ascii="Century Gothic" w:eastAsia="Quattrocento Sans" w:hAnsi="Century Gothic" w:cs="Segoe UI"/>
          <w:b/>
          <w:color w:val="000000"/>
          <w:sz w:val="21"/>
          <w:szCs w:val="21"/>
        </w:rPr>
        <w:t>S</w:t>
      </w:r>
      <w:r w:rsidRPr="00451260">
        <w:rPr>
          <w:rFonts w:ascii="Century Gothic" w:eastAsia="Quattrocento Sans" w:hAnsi="Century Gothic" w:cs="Segoe UI"/>
          <w:b/>
          <w:color w:val="000000"/>
          <w:sz w:val="21"/>
          <w:szCs w:val="21"/>
        </w:rPr>
        <w:t xml:space="preserve"> INICIATIVA</w:t>
      </w:r>
      <w:r w:rsidR="002C1C1D">
        <w:rPr>
          <w:rFonts w:ascii="Century Gothic" w:eastAsia="Quattrocento Sans" w:hAnsi="Century Gothic" w:cs="Segoe UI"/>
          <w:b/>
          <w:color w:val="000000"/>
          <w:sz w:val="21"/>
          <w:szCs w:val="21"/>
        </w:rPr>
        <w:t>S</w:t>
      </w:r>
      <w:r w:rsidR="001A7A8E">
        <w:rPr>
          <w:rFonts w:ascii="Century Gothic" w:eastAsia="Quattrocento Sans" w:hAnsi="Century Gothic" w:cs="Segoe UI"/>
          <w:b/>
          <w:color w:val="000000"/>
          <w:sz w:val="21"/>
          <w:szCs w:val="21"/>
        </w:rPr>
        <w:t>.</w:t>
      </w:r>
    </w:p>
    <w:p w14:paraId="714081EF" w14:textId="13075890" w:rsidR="001A7A8E" w:rsidRPr="008F3368" w:rsidRDefault="00092BCF" w:rsidP="001A7A8E">
      <w:pPr>
        <w:pStyle w:val="Prrafodelista"/>
        <w:numPr>
          <w:ilvl w:val="0"/>
          <w:numId w:val="15"/>
        </w:numPr>
        <w:pBdr>
          <w:top w:val="nil"/>
          <w:left w:val="nil"/>
          <w:bottom w:val="nil"/>
          <w:right w:val="nil"/>
          <w:between w:val="nil"/>
        </w:pBdr>
        <w:rPr>
          <w:rFonts w:ascii="Century Gothic" w:eastAsia="Quattrocento Sans" w:hAnsi="Century Gothic" w:cs="Segoe UI"/>
          <w:b/>
          <w:color w:val="000000"/>
          <w:sz w:val="21"/>
          <w:szCs w:val="21"/>
        </w:rPr>
      </w:pPr>
      <w:r w:rsidRPr="001A7A8E">
        <w:rPr>
          <w:rFonts w:ascii="Century Gothic" w:eastAsia="Quattrocento Sans" w:hAnsi="Century Gothic" w:cs="Segoe UI"/>
          <w:b/>
          <w:sz w:val="21"/>
          <w:szCs w:val="21"/>
        </w:rPr>
        <w:t>NECESIDAD DE LA</w:t>
      </w:r>
      <w:r w:rsidR="00B722D7">
        <w:rPr>
          <w:rFonts w:ascii="Century Gothic" w:eastAsia="Quattrocento Sans" w:hAnsi="Century Gothic" w:cs="Segoe UI"/>
          <w:b/>
          <w:sz w:val="21"/>
          <w:szCs w:val="21"/>
        </w:rPr>
        <w:t>S</w:t>
      </w:r>
      <w:r w:rsidRPr="001A7A8E">
        <w:rPr>
          <w:rFonts w:ascii="Century Gothic" w:eastAsia="Quattrocento Sans" w:hAnsi="Century Gothic" w:cs="Segoe UI"/>
          <w:b/>
          <w:sz w:val="21"/>
          <w:szCs w:val="21"/>
        </w:rPr>
        <w:t xml:space="preserve"> INICIATIVA</w:t>
      </w:r>
      <w:r w:rsidR="00B722D7">
        <w:rPr>
          <w:rFonts w:ascii="Century Gothic" w:eastAsia="Quattrocento Sans" w:hAnsi="Century Gothic" w:cs="Segoe UI"/>
          <w:b/>
          <w:sz w:val="21"/>
          <w:szCs w:val="21"/>
        </w:rPr>
        <w:t>S</w:t>
      </w:r>
      <w:r w:rsidR="001A7A8E">
        <w:rPr>
          <w:rFonts w:ascii="Century Gothic" w:eastAsia="Quattrocento Sans" w:hAnsi="Century Gothic" w:cs="Segoe UI"/>
          <w:b/>
          <w:sz w:val="21"/>
          <w:szCs w:val="21"/>
        </w:rPr>
        <w:t>.</w:t>
      </w:r>
    </w:p>
    <w:p w14:paraId="1BDD359A" w14:textId="12AC1C1C" w:rsidR="008F3368" w:rsidRPr="004D1D8B" w:rsidRDefault="008F3368" w:rsidP="001A7A8E">
      <w:pPr>
        <w:pStyle w:val="Prrafodelista"/>
        <w:numPr>
          <w:ilvl w:val="0"/>
          <w:numId w:val="15"/>
        </w:numPr>
        <w:pBdr>
          <w:top w:val="nil"/>
          <w:left w:val="nil"/>
          <w:bottom w:val="nil"/>
          <w:right w:val="nil"/>
          <w:between w:val="nil"/>
        </w:pBdr>
        <w:rPr>
          <w:rFonts w:ascii="Century Gothic" w:eastAsia="Quattrocento Sans" w:hAnsi="Century Gothic" w:cs="Segoe UI"/>
          <w:b/>
          <w:color w:val="000000"/>
          <w:sz w:val="21"/>
          <w:szCs w:val="21"/>
        </w:rPr>
      </w:pPr>
      <w:r>
        <w:rPr>
          <w:rFonts w:ascii="Century Gothic" w:eastAsia="Quattrocento Sans" w:hAnsi="Century Gothic" w:cs="Segoe UI"/>
          <w:b/>
          <w:sz w:val="21"/>
          <w:szCs w:val="21"/>
        </w:rPr>
        <w:t>AUDIENCIA PÚBLICA.</w:t>
      </w:r>
    </w:p>
    <w:p w14:paraId="1EDE7E81" w14:textId="2CAC3C71" w:rsidR="004D1D8B" w:rsidRPr="004D1D8B" w:rsidRDefault="004D1D8B" w:rsidP="001A7A8E">
      <w:pPr>
        <w:pStyle w:val="Prrafodelista"/>
        <w:numPr>
          <w:ilvl w:val="0"/>
          <w:numId w:val="15"/>
        </w:numPr>
        <w:pBdr>
          <w:top w:val="nil"/>
          <w:left w:val="nil"/>
          <w:bottom w:val="nil"/>
          <w:right w:val="nil"/>
          <w:between w:val="nil"/>
        </w:pBdr>
        <w:rPr>
          <w:rFonts w:ascii="Century Gothic" w:eastAsia="Quattrocento Sans" w:hAnsi="Century Gothic" w:cs="Segoe UI"/>
          <w:b/>
          <w:sz w:val="21"/>
          <w:szCs w:val="21"/>
        </w:rPr>
      </w:pPr>
      <w:r w:rsidRPr="004D1D8B">
        <w:rPr>
          <w:rFonts w:ascii="Century Gothic" w:eastAsia="Quattrocento Sans" w:hAnsi="Century Gothic" w:cs="Segoe UI"/>
          <w:b/>
          <w:sz w:val="21"/>
          <w:szCs w:val="21"/>
        </w:rPr>
        <w:t>CONCEPTO COMITÉ TÉCNICO DEL CONSEJO SUPERIOR DE POLÍTICA CRIMINAL</w:t>
      </w:r>
      <w:r>
        <w:rPr>
          <w:rFonts w:ascii="Century Gothic" w:eastAsia="Quattrocento Sans" w:hAnsi="Century Gothic" w:cs="Segoe UI"/>
          <w:b/>
          <w:sz w:val="21"/>
          <w:szCs w:val="21"/>
        </w:rPr>
        <w:t>.</w:t>
      </w:r>
    </w:p>
    <w:p w14:paraId="0FB67BDA" w14:textId="43153773" w:rsidR="00ED2BCD" w:rsidRPr="001A7A8E" w:rsidRDefault="00ED2BCD" w:rsidP="001A7A8E">
      <w:pPr>
        <w:pStyle w:val="Prrafodelista"/>
        <w:numPr>
          <w:ilvl w:val="0"/>
          <w:numId w:val="15"/>
        </w:numPr>
        <w:pBdr>
          <w:top w:val="nil"/>
          <w:left w:val="nil"/>
          <w:bottom w:val="nil"/>
          <w:right w:val="nil"/>
          <w:between w:val="nil"/>
        </w:pBdr>
        <w:rPr>
          <w:rFonts w:ascii="Century Gothic" w:eastAsia="Quattrocento Sans" w:hAnsi="Century Gothic" w:cs="Segoe UI"/>
          <w:b/>
          <w:color w:val="000000"/>
          <w:sz w:val="21"/>
          <w:szCs w:val="21"/>
        </w:rPr>
      </w:pPr>
      <w:r>
        <w:rPr>
          <w:rFonts w:ascii="Century Gothic" w:eastAsia="Quattrocento Sans" w:hAnsi="Century Gothic" w:cs="Segoe UI"/>
          <w:b/>
          <w:sz w:val="21"/>
          <w:szCs w:val="21"/>
        </w:rPr>
        <w:t xml:space="preserve">PLIEGO DE MODIFICACIONES. </w:t>
      </w:r>
    </w:p>
    <w:p w14:paraId="2C046611" w14:textId="507776D1" w:rsidR="00E303C0" w:rsidRDefault="00793F85" w:rsidP="00E303C0">
      <w:pPr>
        <w:pStyle w:val="Prrafodelista"/>
        <w:numPr>
          <w:ilvl w:val="0"/>
          <w:numId w:val="15"/>
        </w:numPr>
        <w:spacing w:after="240"/>
        <w:jc w:val="both"/>
        <w:rPr>
          <w:rFonts w:ascii="Century Gothic" w:hAnsi="Century Gothic"/>
          <w:b/>
          <w:color w:val="000000" w:themeColor="text1"/>
          <w:sz w:val="21"/>
          <w:szCs w:val="21"/>
        </w:rPr>
      </w:pPr>
      <w:r w:rsidRPr="00DE03AB">
        <w:rPr>
          <w:rFonts w:ascii="Century Gothic" w:hAnsi="Century Gothic"/>
          <w:b/>
          <w:color w:val="000000" w:themeColor="text1"/>
          <w:sz w:val="21"/>
          <w:szCs w:val="21"/>
        </w:rPr>
        <w:t>PROPOSICIÓN.</w:t>
      </w:r>
    </w:p>
    <w:p w14:paraId="1215FFA7" w14:textId="17ECF8FE" w:rsidR="00D110C5" w:rsidRDefault="00D110C5" w:rsidP="00E303C0">
      <w:pPr>
        <w:pStyle w:val="Prrafodelista"/>
        <w:numPr>
          <w:ilvl w:val="0"/>
          <w:numId w:val="15"/>
        </w:numPr>
        <w:spacing w:after="240"/>
        <w:jc w:val="both"/>
        <w:rPr>
          <w:rFonts w:ascii="Century Gothic" w:hAnsi="Century Gothic"/>
          <w:b/>
          <w:color w:val="000000" w:themeColor="text1"/>
          <w:sz w:val="21"/>
          <w:szCs w:val="21"/>
        </w:rPr>
      </w:pPr>
      <w:r>
        <w:rPr>
          <w:rFonts w:ascii="Century Gothic" w:hAnsi="Century Gothic"/>
          <w:b/>
          <w:color w:val="000000" w:themeColor="text1"/>
          <w:sz w:val="21"/>
          <w:szCs w:val="21"/>
        </w:rPr>
        <w:t>TEX</w:t>
      </w:r>
      <w:r w:rsidR="000A12EF">
        <w:rPr>
          <w:rFonts w:ascii="Century Gothic" w:hAnsi="Century Gothic"/>
          <w:b/>
          <w:color w:val="000000" w:themeColor="text1"/>
          <w:sz w:val="21"/>
          <w:szCs w:val="21"/>
        </w:rPr>
        <w:t>TO PROPUESTO PARA SEGUNDO</w:t>
      </w:r>
      <w:r w:rsidR="00A1240A">
        <w:rPr>
          <w:rFonts w:ascii="Century Gothic" w:hAnsi="Century Gothic"/>
          <w:b/>
          <w:color w:val="000000" w:themeColor="text1"/>
          <w:sz w:val="21"/>
          <w:szCs w:val="21"/>
        </w:rPr>
        <w:t xml:space="preserve"> DEBATE.</w:t>
      </w:r>
    </w:p>
    <w:p w14:paraId="747FB753" w14:textId="77777777" w:rsidR="00B44BB0" w:rsidRDefault="00B44BB0" w:rsidP="00B44BB0">
      <w:pPr>
        <w:pStyle w:val="Prrafodelista"/>
        <w:spacing w:after="240"/>
        <w:ind w:left="1080"/>
        <w:jc w:val="both"/>
        <w:rPr>
          <w:rFonts w:ascii="Century Gothic" w:hAnsi="Century Gothic"/>
          <w:b/>
          <w:color w:val="000000" w:themeColor="text1"/>
          <w:sz w:val="21"/>
          <w:szCs w:val="21"/>
        </w:rPr>
      </w:pPr>
    </w:p>
    <w:p w14:paraId="02EEDE16" w14:textId="77777777" w:rsidR="00E303C0" w:rsidRPr="00E303C0" w:rsidRDefault="00E303C0" w:rsidP="00E303C0">
      <w:pPr>
        <w:pStyle w:val="Prrafodelista"/>
        <w:spacing w:after="0" w:line="240" w:lineRule="auto"/>
        <w:ind w:left="0"/>
        <w:jc w:val="both"/>
        <w:rPr>
          <w:rFonts w:ascii="Century Gothic" w:hAnsi="Century Gothic"/>
          <w:b/>
          <w:color w:val="000000" w:themeColor="text1"/>
          <w:sz w:val="21"/>
          <w:szCs w:val="21"/>
        </w:rPr>
      </w:pPr>
    </w:p>
    <w:p w14:paraId="70FD6BB3" w14:textId="52E48523" w:rsidR="00C31434" w:rsidRPr="00AC22F7" w:rsidRDefault="00C31434" w:rsidP="00C31434">
      <w:pPr>
        <w:numPr>
          <w:ilvl w:val="0"/>
          <w:numId w:val="37"/>
        </w:numPr>
        <w:spacing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b/>
          <w:sz w:val="21"/>
          <w:szCs w:val="21"/>
        </w:rPr>
        <w:lastRenderedPageBreak/>
        <w:t>A</w:t>
      </w:r>
      <w:r w:rsidR="00D46CAD">
        <w:rPr>
          <w:rFonts w:ascii="Century Gothic" w:eastAsia="Quattrocento Sans" w:hAnsi="Century Gothic" w:cs="Segoe UI"/>
          <w:b/>
          <w:sz w:val="21"/>
          <w:szCs w:val="21"/>
        </w:rPr>
        <w:t xml:space="preserve">NTECEDENTES DE LOS </w:t>
      </w:r>
      <w:r w:rsidRPr="00196F70">
        <w:rPr>
          <w:rFonts w:ascii="Century Gothic" w:eastAsia="Quattrocento Sans" w:hAnsi="Century Gothic" w:cs="Segoe UI"/>
          <w:b/>
          <w:sz w:val="21"/>
          <w:szCs w:val="21"/>
        </w:rPr>
        <w:t>PROYECTO</w:t>
      </w:r>
      <w:r w:rsidR="00D46CAD">
        <w:rPr>
          <w:rFonts w:ascii="Century Gothic" w:eastAsia="Quattrocento Sans" w:hAnsi="Century Gothic" w:cs="Segoe UI"/>
          <w:b/>
          <w:sz w:val="21"/>
          <w:szCs w:val="21"/>
        </w:rPr>
        <w:t>S</w:t>
      </w:r>
    </w:p>
    <w:p w14:paraId="4519A9FD" w14:textId="77777777" w:rsidR="00C31434" w:rsidRPr="00AC22F7" w:rsidRDefault="00C31434" w:rsidP="00C31434">
      <w:pPr>
        <w:rPr>
          <w:rFonts w:ascii="Century Gothic" w:eastAsia="Quattrocento Sans" w:hAnsi="Century Gothic" w:cs="Segoe UI"/>
          <w:sz w:val="21"/>
          <w:szCs w:val="21"/>
        </w:rPr>
      </w:pPr>
    </w:p>
    <w:p w14:paraId="617BA476" w14:textId="66B7F98A" w:rsidR="00E303C0" w:rsidRPr="00555C66" w:rsidRDefault="00E63B30" w:rsidP="00555C66">
      <w:pPr>
        <w:spacing w:line="276" w:lineRule="auto"/>
        <w:jc w:val="both"/>
        <w:rPr>
          <w:rFonts w:ascii="Century Gothic" w:eastAsia="Quattrocento Sans" w:hAnsi="Century Gothic" w:cs="Segoe UI"/>
          <w:b/>
          <w:sz w:val="21"/>
          <w:szCs w:val="21"/>
        </w:rPr>
      </w:pPr>
      <w:r>
        <w:rPr>
          <w:rFonts w:ascii="Century Gothic" w:eastAsia="Quattrocento Sans" w:hAnsi="Century Gothic" w:cs="Segoe UI"/>
          <w:sz w:val="21"/>
          <w:szCs w:val="21"/>
        </w:rPr>
        <w:t xml:space="preserve">El Proyecto de Ley 125 de 2019 Cámara </w:t>
      </w:r>
      <w:r w:rsidR="00555C66" w:rsidRPr="0064183B">
        <w:rPr>
          <w:rFonts w:ascii="Century Gothic" w:eastAsia="Quattrocento Sans" w:hAnsi="Century Gothic" w:cs="Segoe UI"/>
          <w:sz w:val="21"/>
          <w:szCs w:val="21"/>
        </w:rPr>
        <w:t>“</w:t>
      </w:r>
      <w:r w:rsidR="00555C66" w:rsidRPr="0064183B">
        <w:rPr>
          <w:rFonts w:ascii="Century Gothic" w:eastAsia="Quattrocento Sans" w:hAnsi="Century Gothic" w:cs="Segoe UI"/>
          <w:i/>
          <w:sz w:val="21"/>
          <w:szCs w:val="21"/>
        </w:rPr>
        <w:t>Por la cual se declara imprescriptible la acción penal en caso de delitos contra la libertad, integridad y formación sexuales, o el delito consagrado en el artículo 237 de la Ley 599 de 2000 (No más silencio) y</w:t>
      </w:r>
      <w:r w:rsidR="00555C66">
        <w:rPr>
          <w:rFonts w:ascii="Century Gothic" w:eastAsia="Quattrocento Sans" w:hAnsi="Century Gothic" w:cs="Segoe UI"/>
          <w:i/>
          <w:sz w:val="21"/>
          <w:szCs w:val="21"/>
        </w:rPr>
        <w:t xml:space="preserve"> se dictan otras disposiciones”,</w:t>
      </w:r>
      <w:r w:rsidR="00555C66" w:rsidRPr="0064183B">
        <w:rPr>
          <w:rFonts w:ascii="Century Gothic" w:eastAsia="Quattrocento Sans" w:hAnsi="Century Gothic" w:cs="Segoe UI"/>
          <w:b/>
          <w:sz w:val="21"/>
          <w:szCs w:val="21"/>
        </w:rPr>
        <w:t xml:space="preserve"> </w:t>
      </w:r>
      <w:r>
        <w:rPr>
          <w:rFonts w:ascii="Century Gothic" w:eastAsia="Quattrocento Sans" w:hAnsi="Century Gothic" w:cs="Segoe UI"/>
          <w:sz w:val="21"/>
          <w:szCs w:val="21"/>
        </w:rPr>
        <w:t>fue presentado</w:t>
      </w:r>
      <w:r w:rsidR="00C31434" w:rsidRPr="00196F70">
        <w:rPr>
          <w:rFonts w:ascii="Century Gothic" w:eastAsia="Quattrocento Sans" w:hAnsi="Century Gothic" w:cs="Segoe UI"/>
          <w:sz w:val="21"/>
          <w:szCs w:val="21"/>
        </w:rPr>
        <w:t xml:space="preserve"> ante la Secretaría General de la Cámara de Representantes el 6 de agosto de 2019 por la Representante a la Cámara Katherine Miranda Peña, la HS. Myriam Alicia Paredes Aguirre, H.S. Sandra Liliana Ortiz Nova, H.S. Soledad Tamayo Tamayo, H.S. Nadya Georgette Blel Scaf, H.R. Martha Patricia Villalba Hodwalker, H.R. Norma Hurtado Sánchez, H.R. Gloria Betty Zorro Africano, H.R.Irma Luz Herrera Rodríguez, H.R. </w:t>
      </w:r>
      <w:r w:rsidR="00D46CAD" w:rsidRPr="00196F70">
        <w:rPr>
          <w:rFonts w:ascii="Century Gothic" w:eastAsia="Quattrocento Sans" w:hAnsi="Century Gothic" w:cs="Segoe UI"/>
          <w:sz w:val="21"/>
          <w:szCs w:val="21"/>
        </w:rPr>
        <w:t>María</w:t>
      </w:r>
      <w:r w:rsidR="00C31434" w:rsidRPr="00196F70">
        <w:rPr>
          <w:rFonts w:ascii="Century Gothic" w:eastAsia="Quattrocento Sans" w:hAnsi="Century Gothic" w:cs="Segoe UI"/>
          <w:sz w:val="21"/>
          <w:szCs w:val="21"/>
        </w:rPr>
        <w:t xml:space="preserve"> Cristina Soto De Gómez, H.R. Elizabeth Jai-Pang Díaz, H.R. Adriana Magali Matiz Vargas, H.R. Flora Perdomo Andrade, H.R. Milene Jarava Díaz, H.R. Astrid Sánchez Montes De Oca, H.R. Jennifer Kristin Arias Falla, H.R. Nidia Marcela Osorio Salgado, H.R. Ángela Patricia Sánchez Leal, H.R. Mónica Liliana Valencia Montaña, H.R. Yenica Sugein Acosta Infante, H.R. Mauricio Andrés Toro Orjuela, H.R. Inti Raúl Asprilla Reyes, H.R. Neyla Ruíz Correa, H.R. María José Pizarro Rodríguez, H.R. Catalina Ortiz Lalinde, H.R. Sara Elena Piedrahita Lyons, H.R. Kelyn Johana González Duarte , H.R. Jezmi Lizeth Barraza Arraut y fue publicado en la Gaceta del Congreso No. 740 de 2019. </w:t>
      </w:r>
    </w:p>
    <w:p w14:paraId="71BACEA1" w14:textId="77777777" w:rsidR="00555C66" w:rsidRDefault="00555C66" w:rsidP="00C31434">
      <w:pPr>
        <w:spacing w:line="276" w:lineRule="auto"/>
        <w:jc w:val="both"/>
        <w:rPr>
          <w:rFonts w:ascii="Century Gothic" w:eastAsia="Quattrocento Sans" w:hAnsi="Century Gothic" w:cs="Segoe UI"/>
          <w:sz w:val="21"/>
          <w:szCs w:val="21"/>
        </w:rPr>
      </w:pPr>
    </w:p>
    <w:p w14:paraId="0BF0F42A" w14:textId="1060EF1C" w:rsidR="00E63B30" w:rsidRPr="00555C66" w:rsidRDefault="00E63B30" w:rsidP="00555C66">
      <w:pPr>
        <w:spacing w:line="276" w:lineRule="auto"/>
        <w:jc w:val="both"/>
        <w:rPr>
          <w:rFonts w:ascii="Century Gothic" w:hAnsi="Century Gothic" w:cs="Segoe UI"/>
          <w:i/>
          <w:sz w:val="21"/>
          <w:szCs w:val="21"/>
        </w:rPr>
      </w:pPr>
      <w:r>
        <w:rPr>
          <w:rFonts w:ascii="Century Gothic" w:eastAsia="Quattrocento Sans" w:hAnsi="Century Gothic" w:cs="Segoe UI"/>
          <w:sz w:val="21"/>
          <w:szCs w:val="21"/>
        </w:rPr>
        <w:t>Proyecto de Ley 180 de 2019 Cámara</w:t>
      </w:r>
      <w:r w:rsidR="00555C66">
        <w:rPr>
          <w:rFonts w:ascii="Century Gothic" w:eastAsia="Quattrocento Sans" w:hAnsi="Century Gothic" w:cs="Segoe UI"/>
          <w:sz w:val="21"/>
          <w:szCs w:val="21"/>
        </w:rPr>
        <w:t xml:space="preserve"> </w:t>
      </w:r>
      <w:r w:rsidR="00555C66" w:rsidRPr="0064183B">
        <w:rPr>
          <w:rFonts w:ascii="Century Gothic" w:eastAsia="Quattrocento Sans" w:hAnsi="Century Gothic" w:cs="Segoe UI"/>
          <w:i/>
          <w:sz w:val="21"/>
          <w:szCs w:val="21"/>
        </w:rPr>
        <w:t>“Por medio de la cual se declara imprescriptible la acción penal para los delitos contra la libertad, integridad y formación sexual</w:t>
      </w:r>
      <w:r w:rsidR="00555C66">
        <w:rPr>
          <w:rFonts w:ascii="Century Gothic" w:eastAsia="Quattrocento Sans" w:hAnsi="Century Gothic" w:cs="Segoe UI"/>
          <w:i/>
          <w:sz w:val="21"/>
          <w:szCs w:val="21"/>
        </w:rPr>
        <w:t xml:space="preserve"> cometidos en menores de edad”</w:t>
      </w:r>
      <w:r w:rsidR="00555C66">
        <w:rPr>
          <w:rFonts w:ascii="Century Gothic" w:hAnsi="Century Gothic" w:cs="Segoe UI"/>
          <w:i/>
          <w:sz w:val="21"/>
          <w:szCs w:val="21"/>
        </w:rPr>
        <w:t>,</w:t>
      </w:r>
      <w:r>
        <w:rPr>
          <w:rFonts w:ascii="Century Gothic" w:eastAsia="Quattrocento Sans" w:hAnsi="Century Gothic" w:cs="Segoe UI"/>
          <w:sz w:val="21"/>
          <w:szCs w:val="21"/>
        </w:rPr>
        <w:t xml:space="preserve"> fue presentado ante la Secretaría General de la Cámara de Representantes el 20 de agosto de 2019 por el Representante a la Cámara</w:t>
      </w:r>
      <w:r w:rsidR="00D110C5">
        <w:rPr>
          <w:rFonts w:ascii="Century Gothic" w:eastAsia="Quattrocento Sans" w:hAnsi="Century Gothic" w:cs="Segoe UI"/>
          <w:sz w:val="21"/>
          <w:szCs w:val="21"/>
        </w:rPr>
        <w:t xml:space="preserve"> por el Departamento del Caquetá, Harry</w:t>
      </w:r>
      <w:r>
        <w:rPr>
          <w:rFonts w:ascii="Century Gothic" w:eastAsia="Quattrocento Sans" w:hAnsi="Century Gothic" w:cs="Segoe UI"/>
          <w:sz w:val="21"/>
          <w:szCs w:val="21"/>
        </w:rPr>
        <w:t xml:space="preserve"> Giovanny González García.</w:t>
      </w:r>
    </w:p>
    <w:p w14:paraId="58636E41" w14:textId="77777777" w:rsidR="001A7A8E" w:rsidRPr="00196F70" w:rsidRDefault="001A7A8E" w:rsidP="00555C66">
      <w:pPr>
        <w:jc w:val="both"/>
        <w:rPr>
          <w:rFonts w:ascii="Century Gothic" w:eastAsia="Quattrocento Sans" w:hAnsi="Century Gothic" w:cs="Segoe UI"/>
          <w:sz w:val="21"/>
          <w:szCs w:val="21"/>
        </w:rPr>
      </w:pPr>
    </w:p>
    <w:p w14:paraId="6CC06F3E" w14:textId="77777777" w:rsidR="0061759D" w:rsidRPr="00555C66" w:rsidRDefault="0061759D" w:rsidP="0061759D">
      <w:pPr>
        <w:spacing w:line="276" w:lineRule="auto"/>
        <w:jc w:val="both"/>
        <w:rPr>
          <w:rFonts w:ascii="Century Gothic" w:eastAsia="Quattrocento Sans" w:hAnsi="Century Gothic" w:cs="Segoe UI"/>
          <w:i/>
          <w:sz w:val="21"/>
          <w:szCs w:val="21"/>
        </w:rPr>
      </w:pPr>
      <w:r w:rsidRPr="000E069D">
        <w:rPr>
          <w:rFonts w:ascii="Century Gothic" w:hAnsi="Century Gothic"/>
          <w:sz w:val="21"/>
          <w:szCs w:val="21"/>
        </w:rPr>
        <w:t xml:space="preserve">Los </w:t>
      </w:r>
      <w:r w:rsidRPr="00672A4B">
        <w:rPr>
          <w:rFonts w:ascii="Century Gothic" w:hAnsi="Century Gothic"/>
          <w:sz w:val="21"/>
          <w:szCs w:val="21"/>
        </w:rPr>
        <w:t xml:space="preserve">Proyecto de </w:t>
      </w:r>
      <w:r w:rsidRPr="00672A4B">
        <w:rPr>
          <w:rFonts w:ascii="Century Gothic" w:eastAsia="Quattrocento Sans" w:hAnsi="Century Gothic" w:cs="Segoe UI"/>
          <w:sz w:val="21"/>
          <w:szCs w:val="21"/>
        </w:rPr>
        <w:t xml:space="preserve">Ley No. 125 de 2019 Cámara </w:t>
      </w:r>
      <w:r w:rsidRPr="00672A4B">
        <w:rPr>
          <w:rFonts w:ascii="Century Gothic" w:eastAsia="Quattrocento Sans" w:hAnsi="Century Gothic" w:cs="Segoe UI"/>
          <w:i/>
          <w:sz w:val="21"/>
          <w:szCs w:val="21"/>
        </w:rPr>
        <w:t>“Por la cual se declara imprescriptibl</w:t>
      </w:r>
      <w:r w:rsidRPr="00196F70">
        <w:rPr>
          <w:rFonts w:ascii="Century Gothic" w:eastAsia="Quattrocento Sans" w:hAnsi="Century Gothic" w:cs="Segoe UI"/>
          <w:i/>
          <w:sz w:val="21"/>
          <w:szCs w:val="21"/>
        </w:rPr>
        <w:t xml:space="preserve">e la acción penal en caso de delitos contra la libertad, integridad y formación sexuales, o el delito consagrado en el artículo 237 de la Ley 599 de 2000 (No más silencio) </w:t>
      </w:r>
      <w:r>
        <w:rPr>
          <w:rFonts w:ascii="Century Gothic" w:eastAsia="Quattrocento Sans" w:hAnsi="Century Gothic" w:cs="Segoe UI"/>
          <w:i/>
          <w:sz w:val="21"/>
          <w:szCs w:val="21"/>
        </w:rPr>
        <w:t>y se dictan otras disposiciones”</w:t>
      </w:r>
      <w:r>
        <w:rPr>
          <w:rFonts w:ascii="Century Gothic" w:eastAsia="Quattrocento Sans" w:hAnsi="Century Gothic" w:cs="Segoe UI"/>
          <w:sz w:val="21"/>
          <w:szCs w:val="21"/>
        </w:rPr>
        <w:t xml:space="preserve">, y el Proyecto de Ley No. 180 de 2019 Cámara </w:t>
      </w:r>
      <w:r w:rsidRPr="00242FD9">
        <w:rPr>
          <w:rFonts w:ascii="Century Gothic" w:eastAsia="Quattrocento Sans" w:hAnsi="Century Gothic" w:cs="Segoe UI"/>
          <w:i/>
          <w:sz w:val="21"/>
          <w:szCs w:val="21"/>
        </w:rPr>
        <w:t>“Por medio de la cual se declara imprescriptible la acción penal para los delitos contra la l</w:t>
      </w:r>
      <w:r w:rsidRPr="0064183B">
        <w:rPr>
          <w:rFonts w:ascii="Century Gothic" w:eastAsia="Quattrocento Sans" w:hAnsi="Century Gothic" w:cs="Segoe UI"/>
          <w:i/>
          <w:sz w:val="21"/>
          <w:szCs w:val="21"/>
        </w:rPr>
        <w:t>ibertad, integridad y formación sexual cometidos en menores de edad“</w:t>
      </w:r>
      <w:r w:rsidRPr="000E069D">
        <w:rPr>
          <w:sz w:val="21"/>
          <w:szCs w:val="21"/>
        </w:rPr>
        <w:t xml:space="preserve">, </w:t>
      </w:r>
      <w:r w:rsidRPr="000E069D">
        <w:rPr>
          <w:rFonts w:ascii="Century Gothic" w:hAnsi="Century Gothic"/>
          <w:sz w:val="21"/>
          <w:szCs w:val="21"/>
        </w:rPr>
        <w:t>fueron acumulados m</w:t>
      </w:r>
      <w:r>
        <w:rPr>
          <w:rFonts w:ascii="Century Gothic" w:hAnsi="Century Gothic"/>
          <w:sz w:val="21"/>
          <w:szCs w:val="21"/>
        </w:rPr>
        <w:t xml:space="preserve">ediante Oficio C.P.C.P. 3.1- 168 - 2019 el día 29 </w:t>
      </w:r>
      <w:r w:rsidRPr="000E069D">
        <w:rPr>
          <w:rFonts w:ascii="Century Gothic" w:hAnsi="Century Gothic"/>
          <w:sz w:val="21"/>
          <w:szCs w:val="21"/>
        </w:rPr>
        <w:t>de agosto de 2019.</w:t>
      </w:r>
    </w:p>
    <w:p w14:paraId="04AFF115" w14:textId="77777777" w:rsidR="0061759D" w:rsidRDefault="0061759D" w:rsidP="0061759D">
      <w:pPr>
        <w:jc w:val="both"/>
        <w:rPr>
          <w:rFonts w:ascii="Century Gothic" w:eastAsia="Quattrocento Sans" w:hAnsi="Century Gothic" w:cs="Segoe UI"/>
          <w:sz w:val="21"/>
          <w:szCs w:val="21"/>
        </w:rPr>
      </w:pPr>
    </w:p>
    <w:p w14:paraId="4E5D6C18" w14:textId="0C57DD0B"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Como ponentes para primer debate</w:t>
      </w:r>
      <w:r w:rsidR="0061759D">
        <w:rPr>
          <w:rFonts w:ascii="Century Gothic" w:eastAsia="Quattrocento Sans" w:hAnsi="Century Gothic" w:cs="Segoe UI"/>
          <w:sz w:val="21"/>
          <w:szCs w:val="21"/>
        </w:rPr>
        <w:t xml:space="preserve"> de los </w:t>
      </w:r>
      <w:r w:rsidR="00B872B0">
        <w:rPr>
          <w:rFonts w:ascii="Century Gothic" w:eastAsia="Quattrocento Sans" w:hAnsi="Century Gothic" w:cs="Segoe UI"/>
          <w:sz w:val="21"/>
          <w:szCs w:val="21"/>
        </w:rPr>
        <w:t>proyectos acumulados</w:t>
      </w:r>
      <w:r w:rsidRPr="00196F70">
        <w:rPr>
          <w:rFonts w:ascii="Century Gothic" w:eastAsia="Quattrocento Sans" w:hAnsi="Century Gothic" w:cs="Segoe UI"/>
          <w:sz w:val="21"/>
          <w:szCs w:val="21"/>
        </w:rPr>
        <w:t xml:space="preserve"> ante la Comisión Primera de la Cámara de Representantes</w:t>
      </w:r>
      <w:r w:rsidR="0061759D">
        <w:rPr>
          <w:rFonts w:ascii="Century Gothic" w:eastAsia="Quattrocento Sans" w:hAnsi="Century Gothic" w:cs="Segoe UI"/>
          <w:sz w:val="21"/>
          <w:szCs w:val="21"/>
        </w:rPr>
        <w:t>,</w:t>
      </w:r>
      <w:r w:rsidRPr="00196F70">
        <w:rPr>
          <w:rFonts w:ascii="Century Gothic" w:eastAsia="Quattrocento Sans" w:hAnsi="Century Gothic" w:cs="Segoe UI"/>
          <w:sz w:val="21"/>
          <w:szCs w:val="21"/>
        </w:rPr>
        <w:t xml:space="preserve"> se designaron a los Honorables Representantes Julián Peinado Ramírez (Coordinador), Adriana Magali Matiz Vargas (Coordinador</w:t>
      </w:r>
      <w:r w:rsidR="00555C66">
        <w:rPr>
          <w:rFonts w:ascii="Century Gothic" w:eastAsia="Quattrocento Sans" w:hAnsi="Century Gothic" w:cs="Segoe UI"/>
          <w:sz w:val="21"/>
          <w:szCs w:val="21"/>
        </w:rPr>
        <w:t>a</w:t>
      </w:r>
      <w:r w:rsidRPr="00196F70">
        <w:rPr>
          <w:rFonts w:ascii="Century Gothic" w:eastAsia="Quattrocento Sans" w:hAnsi="Century Gothic" w:cs="Segoe UI"/>
          <w:sz w:val="21"/>
          <w:szCs w:val="21"/>
        </w:rPr>
        <w:t>), Margarita María Restrepo Arango, Julián César Triana Quintero, Inti Raúl Aspr</w:t>
      </w:r>
      <w:r w:rsidR="00B872B0">
        <w:rPr>
          <w:rFonts w:ascii="Century Gothic" w:eastAsia="Quattrocento Sans" w:hAnsi="Century Gothic" w:cs="Segoe UI"/>
          <w:sz w:val="21"/>
          <w:szCs w:val="21"/>
        </w:rPr>
        <w:t xml:space="preserve">illa Reyes, Elbert Díaz Lozano, Luis Alberto Albán Urbano y Harry Giovanny </w:t>
      </w:r>
      <w:r w:rsidR="0061759D">
        <w:rPr>
          <w:rFonts w:ascii="Century Gothic" w:eastAsia="Quattrocento Sans" w:hAnsi="Century Gothic" w:cs="Segoe UI"/>
          <w:sz w:val="21"/>
          <w:szCs w:val="21"/>
        </w:rPr>
        <w:t>González</w:t>
      </w:r>
      <w:r w:rsidR="00B872B0">
        <w:rPr>
          <w:rFonts w:ascii="Century Gothic" w:eastAsia="Quattrocento Sans" w:hAnsi="Century Gothic" w:cs="Segoe UI"/>
          <w:sz w:val="21"/>
          <w:szCs w:val="21"/>
        </w:rPr>
        <w:t xml:space="preserve"> García</w:t>
      </w:r>
      <w:r w:rsidR="00555C66">
        <w:rPr>
          <w:rFonts w:ascii="Century Gothic" w:eastAsia="Quattrocento Sans" w:hAnsi="Century Gothic" w:cs="Segoe UI"/>
          <w:sz w:val="21"/>
          <w:szCs w:val="21"/>
        </w:rPr>
        <w:t>.</w:t>
      </w:r>
    </w:p>
    <w:p w14:paraId="0E8AF218" w14:textId="77777777" w:rsidR="006050E4" w:rsidRDefault="006050E4" w:rsidP="00C31434">
      <w:pPr>
        <w:spacing w:line="276" w:lineRule="auto"/>
        <w:jc w:val="both"/>
        <w:rPr>
          <w:rFonts w:ascii="Century Gothic" w:eastAsia="Quattrocento Sans" w:hAnsi="Century Gothic" w:cs="Segoe UI"/>
          <w:sz w:val="21"/>
          <w:szCs w:val="21"/>
        </w:rPr>
      </w:pPr>
    </w:p>
    <w:p w14:paraId="073A5DD0" w14:textId="3401B2C1" w:rsidR="00A47E43" w:rsidRDefault="000D410C" w:rsidP="006B049E">
      <w:pPr>
        <w:spacing w:line="276" w:lineRule="auto"/>
        <w:jc w:val="both"/>
        <w:rPr>
          <w:rFonts w:ascii="Century Gothic" w:hAnsi="Century Gothic"/>
          <w:sz w:val="21"/>
          <w:szCs w:val="21"/>
        </w:rPr>
      </w:pPr>
      <w:r>
        <w:rPr>
          <w:rFonts w:ascii="Century Gothic" w:hAnsi="Century Gothic"/>
          <w:sz w:val="21"/>
          <w:szCs w:val="21"/>
        </w:rPr>
        <w:t>Los</w:t>
      </w:r>
      <w:r w:rsidR="006050E4" w:rsidRPr="00100AA8">
        <w:rPr>
          <w:rFonts w:ascii="Century Gothic" w:hAnsi="Century Gothic"/>
          <w:sz w:val="21"/>
          <w:szCs w:val="21"/>
        </w:rPr>
        <w:t xml:space="preserve"> Honorable</w:t>
      </w:r>
      <w:r>
        <w:rPr>
          <w:rFonts w:ascii="Century Gothic" w:hAnsi="Century Gothic"/>
          <w:sz w:val="21"/>
          <w:szCs w:val="21"/>
        </w:rPr>
        <w:t xml:space="preserve">s Representantes </w:t>
      </w:r>
      <w:r w:rsidR="006050E4">
        <w:rPr>
          <w:rFonts w:ascii="Century Gothic" w:hAnsi="Century Gothic"/>
          <w:sz w:val="21"/>
          <w:szCs w:val="21"/>
        </w:rPr>
        <w:t>ponentes, rindieron</w:t>
      </w:r>
      <w:r w:rsidR="006050E4" w:rsidRPr="00100AA8">
        <w:rPr>
          <w:rFonts w:ascii="Century Gothic" w:hAnsi="Century Gothic"/>
          <w:sz w:val="21"/>
          <w:szCs w:val="21"/>
        </w:rPr>
        <w:t xml:space="preserve"> ponencia positiva para primer debate, la cual fue publicada en l</w:t>
      </w:r>
      <w:r>
        <w:rPr>
          <w:rFonts w:ascii="Century Gothic" w:hAnsi="Century Gothic"/>
          <w:sz w:val="21"/>
          <w:szCs w:val="21"/>
        </w:rPr>
        <w:t>a Gaceta del Congreso número 978</w:t>
      </w:r>
      <w:r w:rsidR="00454CD8">
        <w:rPr>
          <w:rFonts w:ascii="Century Gothic" w:hAnsi="Century Gothic"/>
          <w:sz w:val="21"/>
          <w:szCs w:val="21"/>
        </w:rPr>
        <w:t xml:space="preserve"> de 2019. El 13</w:t>
      </w:r>
      <w:r w:rsidR="006050E4" w:rsidRPr="00100AA8">
        <w:rPr>
          <w:rFonts w:ascii="Century Gothic" w:hAnsi="Century Gothic"/>
          <w:sz w:val="21"/>
          <w:szCs w:val="21"/>
        </w:rPr>
        <w:t xml:space="preserve"> de </w:t>
      </w:r>
      <w:r w:rsidR="00454CD8">
        <w:rPr>
          <w:rFonts w:ascii="Century Gothic" w:hAnsi="Century Gothic"/>
          <w:sz w:val="21"/>
          <w:szCs w:val="21"/>
        </w:rPr>
        <w:t>noviembre</w:t>
      </w:r>
      <w:r w:rsidR="006050E4" w:rsidRPr="00100AA8">
        <w:rPr>
          <w:rFonts w:ascii="Century Gothic" w:hAnsi="Century Gothic"/>
          <w:sz w:val="21"/>
          <w:szCs w:val="21"/>
        </w:rPr>
        <w:t xml:space="preserve"> de 2019 fue aprobada por los miembros de la Comisión Primera de la Cámara de Representantes, la ponencia positiva </w:t>
      </w:r>
      <w:r w:rsidR="007805E2">
        <w:rPr>
          <w:rFonts w:ascii="Century Gothic" w:hAnsi="Century Gothic"/>
          <w:sz w:val="21"/>
          <w:szCs w:val="21"/>
        </w:rPr>
        <w:t>del Proyecto de ley</w:t>
      </w:r>
      <w:r w:rsidR="006050E4" w:rsidRPr="00100AA8">
        <w:rPr>
          <w:rFonts w:ascii="Century Gothic" w:hAnsi="Century Gothic"/>
          <w:sz w:val="21"/>
          <w:szCs w:val="21"/>
        </w:rPr>
        <w:t xml:space="preserve">, junto con </w:t>
      </w:r>
      <w:r w:rsidR="007805E2">
        <w:rPr>
          <w:rFonts w:ascii="Century Gothic" w:hAnsi="Century Gothic"/>
          <w:sz w:val="21"/>
          <w:szCs w:val="21"/>
        </w:rPr>
        <w:t>una proposición avalada por los</w:t>
      </w:r>
      <w:r w:rsidR="006050E4">
        <w:rPr>
          <w:rFonts w:ascii="Century Gothic" w:hAnsi="Century Gothic"/>
          <w:sz w:val="21"/>
          <w:szCs w:val="21"/>
        </w:rPr>
        <w:t xml:space="preserve"> ponent</w:t>
      </w:r>
      <w:r w:rsidR="007805E2">
        <w:rPr>
          <w:rFonts w:ascii="Century Gothic" w:hAnsi="Century Gothic"/>
          <w:sz w:val="21"/>
          <w:szCs w:val="21"/>
        </w:rPr>
        <w:t>es, que modificó el artículo 1</w:t>
      </w:r>
      <w:r w:rsidR="006050E4" w:rsidRPr="00100AA8">
        <w:rPr>
          <w:rFonts w:ascii="Century Gothic" w:hAnsi="Century Gothic"/>
          <w:sz w:val="21"/>
          <w:szCs w:val="21"/>
        </w:rPr>
        <w:t>°, suscrita</w:t>
      </w:r>
      <w:r w:rsidR="007805E2">
        <w:rPr>
          <w:rFonts w:ascii="Century Gothic" w:hAnsi="Century Gothic"/>
          <w:sz w:val="21"/>
          <w:szCs w:val="21"/>
        </w:rPr>
        <w:t xml:space="preserve"> por el Representante </w:t>
      </w:r>
      <w:r w:rsidR="007805E2" w:rsidRPr="007805E2">
        <w:rPr>
          <w:rFonts w:ascii="Century Gothic" w:hAnsi="Century Gothic"/>
          <w:sz w:val="21"/>
          <w:szCs w:val="21"/>
        </w:rPr>
        <w:t xml:space="preserve">Juan </w:t>
      </w:r>
      <w:r w:rsidR="007805E2" w:rsidRPr="007805E2">
        <w:rPr>
          <w:rFonts w:ascii="Century Gothic" w:hAnsi="Century Gothic"/>
          <w:sz w:val="21"/>
          <w:szCs w:val="21"/>
        </w:rPr>
        <w:lastRenderedPageBreak/>
        <w:t>Carlos Lozada Varg</w:t>
      </w:r>
      <w:r w:rsidR="007805E2" w:rsidRPr="006B049E">
        <w:rPr>
          <w:rFonts w:ascii="Century Gothic" w:hAnsi="Century Gothic"/>
          <w:sz w:val="21"/>
          <w:szCs w:val="21"/>
        </w:rPr>
        <w:t>as</w:t>
      </w:r>
      <w:r w:rsidR="000834AB">
        <w:rPr>
          <w:rFonts w:ascii="Century Gothic" w:hAnsi="Century Gothic"/>
          <w:sz w:val="21"/>
          <w:szCs w:val="21"/>
        </w:rPr>
        <w:t xml:space="preserve">, </w:t>
      </w:r>
      <w:r w:rsidR="000834AB" w:rsidRPr="00820153">
        <w:rPr>
          <w:rFonts w:ascii="Century Gothic" w:hAnsi="Century Gothic"/>
          <w:sz w:val="21"/>
          <w:szCs w:val="21"/>
        </w:rPr>
        <w:t>en el sentido que las reglas sobre la prescripción de los delitos sexuales en contra de niños, niñas y adolescentes se ubicaran en el inciso 2do del artículo 83</w:t>
      </w:r>
      <w:r w:rsidR="000834AB">
        <w:rPr>
          <w:rFonts w:ascii="Century Gothic" w:hAnsi="Century Gothic"/>
          <w:sz w:val="21"/>
          <w:szCs w:val="21"/>
        </w:rPr>
        <w:t xml:space="preserve"> de la Ley 599 de 2000,</w:t>
      </w:r>
      <w:r w:rsidR="000834AB" w:rsidRPr="00820153">
        <w:rPr>
          <w:rFonts w:ascii="Century Gothic" w:hAnsi="Century Gothic"/>
          <w:sz w:val="21"/>
          <w:szCs w:val="21"/>
        </w:rPr>
        <w:t xml:space="preserve"> junto con las reglas sobre prescripción de los delitos de lesa humanidad, genocidio y crímenes de guerra; por otro lado, la proposición radicada por el Repre</w:t>
      </w:r>
      <w:r w:rsidR="00967746">
        <w:rPr>
          <w:rFonts w:ascii="Century Gothic" w:hAnsi="Century Gothic"/>
          <w:sz w:val="21"/>
          <w:szCs w:val="21"/>
        </w:rPr>
        <w:t xml:space="preserve">sentante Gabriel Jaime Vallejo, </w:t>
      </w:r>
      <w:r w:rsidR="000834AB" w:rsidRPr="00820153">
        <w:rPr>
          <w:rFonts w:ascii="Century Gothic" w:hAnsi="Century Gothic"/>
          <w:sz w:val="21"/>
          <w:szCs w:val="21"/>
        </w:rPr>
        <w:t>en el mismo sentido que la del Representante Lozada, quedó como constancia.</w:t>
      </w:r>
    </w:p>
    <w:p w14:paraId="2EF4778B" w14:textId="77777777" w:rsidR="000834AB" w:rsidRPr="006B049E" w:rsidRDefault="000834AB" w:rsidP="000834AB">
      <w:pPr>
        <w:jc w:val="both"/>
        <w:rPr>
          <w:rFonts w:ascii="Century Gothic" w:hAnsi="Century Gothic"/>
          <w:sz w:val="21"/>
          <w:szCs w:val="21"/>
        </w:rPr>
      </w:pPr>
    </w:p>
    <w:p w14:paraId="7814537A" w14:textId="6F142F25" w:rsidR="00C31434" w:rsidRPr="003D7041" w:rsidRDefault="008C0AE4" w:rsidP="00C31434">
      <w:pPr>
        <w:numPr>
          <w:ilvl w:val="0"/>
          <w:numId w:val="37"/>
        </w:numPr>
        <w:spacing w:line="276" w:lineRule="auto"/>
        <w:jc w:val="center"/>
        <w:rPr>
          <w:rFonts w:ascii="Century Gothic" w:eastAsia="Quattrocento Sans" w:hAnsi="Century Gothic" w:cs="Segoe UI"/>
          <w:sz w:val="21"/>
          <w:szCs w:val="21"/>
        </w:rPr>
      </w:pPr>
      <w:r>
        <w:rPr>
          <w:rFonts w:ascii="Century Gothic" w:eastAsia="Quattrocento Sans" w:hAnsi="Century Gothic" w:cs="Segoe UI"/>
          <w:b/>
          <w:sz w:val="21"/>
          <w:szCs w:val="21"/>
        </w:rPr>
        <w:t>OBJETO</w:t>
      </w:r>
      <w:r w:rsidR="00C31434" w:rsidRPr="00196F70">
        <w:rPr>
          <w:rFonts w:ascii="Century Gothic" w:eastAsia="Quattrocento Sans" w:hAnsi="Century Gothic" w:cs="Segoe UI"/>
          <w:b/>
          <w:sz w:val="21"/>
          <w:szCs w:val="21"/>
        </w:rPr>
        <w:t xml:space="preserve"> </w:t>
      </w:r>
      <w:r w:rsidR="00D46CAD">
        <w:rPr>
          <w:rFonts w:ascii="Century Gothic" w:eastAsia="Quattrocento Sans" w:hAnsi="Century Gothic" w:cs="Segoe UI"/>
          <w:b/>
          <w:sz w:val="21"/>
          <w:szCs w:val="21"/>
        </w:rPr>
        <w:t>DE LAS INICIATIVAS</w:t>
      </w:r>
    </w:p>
    <w:p w14:paraId="3ED36170" w14:textId="77777777" w:rsidR="00C31434" w:rsidRPr="00196F70" w:rsidRDefault="00C31434" w:rsidP="00C31434">
      <w:pPr>
        <w:rPr>
          <w:rFonts w:ascii="Century Gothic" w:eastAsia="Quattrocento Sans" w:hAnsi="Century Gothic" w:cs="Segoe UI"/>
          <w:sz w:val="21"/>
          <w:szCs w:val="21"/>
        </w:rPr>
      </w:pPr>
    </w:p>
    <w:p w14:paraId="4E4DD1BD" w14:textId="67422F48"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La</w:t>
      </w:r>
      <w:r w:rsidR="00B872B0">
        <w:rPr>
          <w:rFonts w:ascii="Century Gothic" w:eastAsia="Quattrocento Sans" w:hAnsi="Century Gothic" w:cs="Segoe UI"/>
          <w:sz w:val="21"/>
          <w:szCs w:val="21"/>
        </w:rPr>
        <w:t>s</w:t>
      </w:r>
      <w:r w:rsidRPr="00196F70">
        <w:rPr>
          <w:rFonts w:ascii="Century Gothic" w:eastAsia="Quattrocento Sans" w:hAnsi="Century Gothic" w:cs="Segoe UI"/>
          <w:sz w:val="21"/>
          <w:szCs w:val="21"/>
        </w:rPr>
        <w:t xml:space="preserve"> iniciativa</w:t>
      </w:r>
      <w:r w:rsidR="00B872B0">
        <w:rPr>
          <w:rFonts w:ascii="Century Gothic" w:eastAsia="Quattrocento Sans" w:hAnsi="Century Gothic" w:cs="Segoe UI"/>
          <w:sz w:val="21"/>
          <w:szCs w:val="21"/>
        </w:rPr>
        <w:t>s</w:t>
      </w:r>
      <w:r w:rsidRPr="00196F70">
        <w:rPr>
          <w:rFonts w:ascii="Century Gothic" w:eastAsia="Quattrocento Sans" w:hAnsi="Century Gothic" w:cs="Segoe UI"/>
          <w:sz w:val="21"/>
          <w:szCs w:val="21"/>
        </w:rPr>
        <w:t xml:space="preserve"> tiene</w:t>
      </w:r>
      <w:r w:rsidR="00B872B0">
        <w:rPr>
          <w:rFonts w:ascii="Century Gothic" w:eastAsia="Quattrocento Sans" w:hAnsi="Century Gothic" w:cs="Segoe UI"/>
          <w:sz w:val="21"/>
          <w:szCs w:val="21"/>
        </w:rPr>
        <w:t>n</w:t>
      </w:r>
      <w:r w:rsidRPr="00196F70">
        <w:rPr>
          <w:rFonts w:ascii="Century Gothic" w:eastAsia="Quattrocento Sans" w:hAnsi="Century Gothic" w:cs="Segoe UI"/>
          <w:sz w:val="21"/>
          <w:szCs w:val="21"/>
        </w:rPr>
        <w:t xml:space="preserve"> por objeto </w:t>
      </w:r>
      <w:r w:rsidR="00D110C5" w:rsidRPr="008C0AE4">
        <w:rPr>
          <w:rFonts w:ascii="Century Gothic" w:eastAsia="Quattrocento Sans" w:hAnsi="Century Gothic" w:cs="Segoe UI"/>
          <w:sz w:val="21"/>
          <w:szCs w:val="21"/>
        </w:rPr>
        <w:t>permitir</w:t>
      </w:r>
      <w:r w:rsidRPr="008C0AE4">
        <w:rPr>
          <w:rFonts w:ascii="Century Gothic" w:eastAsia="Quattrocento Sans" w:hAnsi="Century Gothic" w:cs="Segoe UI"/>
          <w:sz w:val="21"/>
          <w:szCs w:val="21"/>
        </w:rPr>
        <w:t xml:space="preserve"> que quien haya sido víctima de </w:t>
      </w:r>
      <w:r w:rsidR="00D110C5" w:rsidRPr="008C0AE4">
        <w:rPr>
          <w:rFonts w:ascii="Century Gothic" w:eastAsia="Quattrocento Sans" w:hAnsi="Century Gothic" w:cs="Segoe UI"/>
          <w:sz w:val="21"/>
          <w:szCs w:val="21"/>
        </w:rPr>
        <w:t xml:space="preserve">los delitos contra la libertad, integridad y formación sexuales, o el delito consagrado en el artículo 237 de la Ley 599 de 2000, </w:t>
      </w:r>
      <w:r w:rsidR="003E1009" w:rsidRPr="008C0AE4">
        <w:rPr>
          <w:rFonts w:ascii="Century Gothic" w:eastAsia="Quattrocento Sans" w:hAnsi="Century Gothic" w:cs="Segoe UI"/>
          <w:sz w:val="21"/>
          <w:szCs w:val="21"/>
        </w:rPr>
        <w:t>siendo menor de 18 años</w:t>
      </w:r>
      <w:r w:rsidRPr="008C0AE4">
        <w:rPr>
          <w:rFonts w:ascii="Century Gothic" w:eastAsia="Quattrocento Sans" w:hAnsi="Century Gothic" w:cs="Segoe UI"/>
          <w:sz w:val="21"/>
          <w:szCs w:val="21"/>
        </w:rPr>
        <w:t>, no pierda la posibilidad de que su victimario sea investigado, juzgado y sancionado en ningún momento,</w:t>
      </w:r>
      <w:r w:rsidR="00D110C5" w:rsidRPr="008C0AE4">
        <w:rPr>
          <w:rFonts w:ascii="Century Gothic" w:eastAsia="Quattrocento Sans" w:hAnsi="Century Gothic" w:cs="Segoe UI"/>
          <w:sz w:val="21"/>
          <w:szCs w:val="21"/>
        </w:rPr>
        <w:t xml:space="preserve"> para lo cual se propone </w:t>
      </w:r>
      <w:r w:rsidRPr="008C0AE4">
        <w:rPr>
          <w:rFonts w:ascii="Century Gothic" w:eastAsia="Quattrocento Sans" w:hAnsi="Century Gothic" w:cs="Segoe UI"/>
          <w:sz w:val="21"/>
          <w:szCs w:val="21"/>
        </w:rPr>
        <w:t>que para estos caso</w:t>
      </w:r>
      <w:r w:rsidR="00D110C5" w:rsidRPr="008C0AE4">
        <w:rPr>
          <w:rFonts w:ascii="Century Gothic" w:eastAsia="Quattrocento Sans" w:hAnsi="Century Gothic" w:cs="Segoe UI"/>
          <w:sz w:val="21"/>
          <w:szCs w:val="21"/>
        </w:rPr>
        <w:t>s la acción penal no prescriba</w:t>
      </w:r>
      <w:r w:rsidRPr="00A1240A">
        <w:rPr>
          <w:rFonts w:ascii="Century Gothic" w:eastAsia="Quattrocento Sans" w:hAnsi="Century Gothic" w:cs="Segoe UI"/>
          <w:sz w:val="21"/>
          <w:szCs w:val="21"/>
        </w:rPr>
        <w:t>.</w:t>
      </w:r>
    </w:p>
    <w:p w14:paraId="36DCF233" w14:textId="77777777" w:rsidR="00C31434" w:rsidRPr="00196F70" w:rsidRDefault="00C31434" w:rsidP="00C31434">
      <w:pPr>
        <w:jc w:val="both"/>
        <w:rPr>
          <w:rFonts w:ascii="Century Gothic" w:eastAsia="Quattrocento Sans" w:hAnsi="Century Gothic" w:cs="Segoe UI"/>
          <w:sz w:val="21"/>
          <w:szCs w:val="21"/>
        </w:rPr>
      </w:pPr>
    </w:p>
    <w:p w14:paraId="55447028" w14:textId="77777777" w:rsidR="00C31434" w:rsidRDefault="00C31434" w:rsidP="00C31434">
      <w:pPr>
        <w:numPr>
          <w:ilvl w:val="0"/>
          <w:numId w:val="37"/>
        </w:numPr>
        <w:pBdr>
          <w:top w:val="nil"/>
          <w:left w:val="nil"/>
          <w:bottom w:val="nil"/>
          <w:right w:val="nil"/>
          <w:between w:val="nil"/>
        </w:pBdr>
        <w:spacing w:line="276" w:lineRule="auto"/>
        <w:jc w:val="center"/>
        <w:rPr>
          <w:rFonts w:ascii="Century Gothic" w:eastAsia="Quattrocento Sans" w:hAnsi="Century Gothic" w:cs="Segoe UI"/>
          <w:b/>
          <w:color w:val="000000"/>
          <w:sz w:val="21"/>
          <w:szCs w:val="21"/>
        </w:rPr>
      </w:pPr>
      <w:r w:rsidRPr="00196F70">
        <w:rPr>
          <w:rFonts w:ascii="Century Gothic" w:eastAsia="Quattrocento Sans" w:hAnsi="Century Gothic" w:cs="Segoe UI"/>
          <w:b/>
          <w:color w:val="000000"/>
          <w:sz w:val="21"/>
          <w:szCs w:val="21"/>
        </w:rPr>
        <w:t>LA PRESCRIPCIÓN DE LA ACCIÓN PENAL PARA DELITOS SEXUALES COMETIDOS EN CONTRA DE MENORES.</w:t>
      </w:r>
    </w:p>
    <w:p w14:paraId="3D8FA25F" w14:textId="77777777" w:rsidR="00C31434" w:rsidRPr="00196F70" w:rsidRDefault="00C31434" w:rsidP="00C31434">
      <w:pPr>
        <w:pBdr>
          <w:top w:val="nil"/>
          <w:left w:val="nil"/>
          <w:bottom w:val="nil"/>
          <w:right w:val="nil"/>
          <w:between w:val="nil"/>
        </w:pBdr>
        <w:jc w:val="both"/>
        <w:rPr>
          <w:rFonts w:ascii="Century Gothic" w:eastAsia="Quattrocento Sans" w:hAnsi="Century Gothic" w:cs="Segoe UI"/>
          <w:b/>
          <w:color w:val="000000"/>
          <w:sz w:val="21"/>
          <w:szCs w:val="21"/>
        </w:rPr>
      </w:pPr>
    </w:p>
    <w:p w14:paraId="4A54E94F"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 xml:space="preserve">En términos generales, la prescripción es una institución jurídica por la </w:t>
      </w:r>
      <w:r>
        <w:rPr>
          <w:rFonts w:ascii="Century Gothic" w:eastAsia="Quattrocento Sans" w:hAnsi="Century Gothic" w:cs="Segoe UI"/>
          <w:color w:val="000000"/>
          <w:sz w:val="21"/>
          <w:szCs w:val="21"/>
        </w:rPr>
        <w:t xml:space="preserve">cual </w:t>
      </w:r>
      <w:r w:rsidRPr="00196F70">
        <w:rPr>
          <w:rFonts w:ascii="Century Gothic" w:eastAsia="Quattrocento Sans" w:hAnsi="Century Gothic" w:cs="Segoe UI"/>
          <w:color w:val="000000"/>
          <w:sz w:val="21"/>
          <w:szCs w:val="21"/>
        </w:rPr>
        <w:t>el transcurso del tiempo produce efectos de derecho, sin embargo, tiene distintas connotaciones dependiendo el contexto o rama del derecho desde la cual se le aproxime, por ejemplo, en materia civil, la prescripción puede ser el medio de adquirir un derecho (como sucede con la prescripción adquisitiva de domino o usucapión regulada en el artículos 2527 y concordantes de nuestro Código Civil) o de librarse de una obligación por el transcurso del tiempo (como lo establece el numeral 10 del artículo 1625 del mismo código).</w:t>
      </w:r>
    </w:p>
    <w:p w14:paraId="36874A86" w14:textId="77777777" w:rsidR="00C31434" w:rsidRPr="00196F70"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7F42D3D0"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Ahora bien, la prescripción opera en nuestro ordenamiento jurídico tanto para los derechos, como para las acciones, esta diferenciación la podemos ver claramente en materia laboral en donde la Corte Constitucional</w:t>
      </w:r>
      <w:r w:rsidRPr="00196F70">
        <w:rPr>
          <w:rStyle w:val="Refdenotaalpie"/>
          <w:rFonts w:ascii="Century Gothic" w:eastAsia="Quattrocento Sans" w:hAnsi="Century Gothic" w:cs="Segoe UI"/>
          <w:color w:val="000000"/>
          <w:sz w:val="21"/>
          <w:szCs w:val="21"/>
        </w:rPr>
        <w:footnoteReference w:id="1"/>
      </w:r>
      <w:r w:rsidRPr="00196F70">
        <w:rPr>
          <w:rFonts w:ascii="Century Gothic" w:eastAsia="Quattrocento Sans" w:hAnsi="Century Gothic" w:cs="Segoe UI"/>
          <w:color w:val="000000"/>
          <w:sz w:val="21"/>
          <w:szCs w:val="21"/>
        </w:rPr>
        <w:t xml:space="preserve"> ha determinado que si bien</w:t>
      </w:r>
      <w:r>
        <w:rPr>
          <w:rFonts w:ascii="Century Gothic" w:eastAsia="Quattrocento Sans" w:hAnsi="Century Gothic" w:cs="Segoe UI"/>
          <w:color w:val="000000"/>
          <w:sz w:val="21"/>
          <w:szCs w:val="21"/>
        </w:rPr>
        <w:t>,</w:t>
      </w:r>
      <w:r w:rsidRPr="00196F70">
        <w:rPr>
          <w:rFonts w:ascii="Century Gothic" w:eastAsia="Quattrocento Sans" w:hAnsi="Century Gothic" w:cs="Segoe UI"/>
          <w:color w:val="000000"/>
          <w:sz w:val="21"/>
          <w:szCs w:val="21"/>
        </w:rPr>
        <w:t xml:space="preserve"> en virtud del artículo 25 de nuestra Carta Política el derecho al trabajo en sí es imprescriptible, las acciones judiciales para proteger los derechos laborales contemplados por el Código Sustantivo del trabajo colombiano adquiridos por un trabajador en virtud de una relación laboral, no son eternas, así lo determina el artículo 488 del código:</w:t>
      </w:r>
    </w:p>
    <w:p w14:paraId="41C4CA4C" w14:textId="77777777" w:rsidR="00C31434" w:rsidRPr="00196F70" w:rsidRDefault="00C31434" w:rsidP="00C31434">
      <w:pPr>
        <w:pBdr>
          <w:top w:val="nil"/>
          <w:left w:val="nil"/>
          <w:bottom w:val="nil"/>
          <w:right w:val="nil"/>
          <w:between w:val="nil"/>
        </w:pBdr>
        <w:jc w:val="both"/>
        <w:rPr>
          <w:rFonts w:ascii="Century Gothic" w:eastAsia="Quattrocento Sans" w:hAnsi="Century Gothic" w:cs="Segoe UI"/>
          <w:color w:val="000000"/>
          <w:sz w:val="21"/>
          <w:szCs w:val="21"/>
        </w:rPr>
      </w:pPr>
    </w:p>
    <w:p w14:paraId="3591A9A4" w14:textId="77777777" w:rsidR="00C31434" w:rsidRPr="00CB3DB1" w:rsidRDefault="00C31434" w:rsidP="004D47EC">
      <w:pPr>
        <w:pBdr>
          <w:top w:val="nil"/>
          <w:left w:val="nil"/>
          <w:bottom w:val="nil"/>
          <w:right w:val="nil"/>
          <w:between w:val="nil"/>
        </w:pBdr>
        <w:spacing w:line="276" w:lineRule="auto"/>
        <w:ind w:left="360" w:right="474"/>
        <w:jc w:val="both"/>
        <w:rPr>
          <w:rFonts w:ascii="Century Gothic" w:eastAsia="Quattrocento Sans" w:hAnsi="Century Gothic" w:cs="Segoe UI"/>
          <w:i/>
          <w:color w:val="000000"/>
          <w:sz w:val="18"/>
          <w:szCs w:val="18"/>
        </w:rPr>
      </w:pPr>
      <w:r w:rsidRPr="00CB3DB1">
        <w:rPr>
          <w:rFonts w:ascii="Century Gothic" w:eastAsia="Quattrocento Sans" w:hAnsi="Century Gothic" w:cs="Segoe UI"/>
          <w:b/>
          <w:i/>
          <w:color w:val="000000"/>
          <w:sz w:val="18"/>
          <w:szCs w:val="18"/>
        </w:rPr>
        <w:t>ARTICULO 488. REGLA GENERAL.</w:t>
      </w:r>
      <w:r w:rsidRPr="00CB3DB1">
        <w:rPr>
          <w:rFonts w:ascii="Century Gothic" w:eastAsia="Quattrocento Sans" w:hAnsi="Century Gothic" w:cs="Segoe UI"/>
          <w:i/>
          <w:color w:val="000000"/>
          <w:sz w:val="18"/>
          <w:szCs w:val="18"/>
        </w:rPr>
        <w:t xml:space="preserve">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025BEDD" w14:textId="77777777" w:rsidR="00C31434" w:rsidRDefault="00C31434" w:rsidP="00C31434">
      <w:pPr>
        <w:pBdr>
          <w:top w:val="nil"/>
          <w:left w:val="nil"/>
          <w:bottom w:val="nil"/>
          <w:right w:val="nil"/>
          <w:between w:val="nil"/>
        </w:pBdr>
        <w:jc w:val="both"/>
        <w:rPr>
          <w:rFonts w:ascii="Century Gothic" w:eastAsia="Quattrocento Sans" w:hAnsi="Century Gothic" w:cs="Segoe UI"/>
          <w:color w:val="000000"/>
          <w:sz w:val="21"/>
          <w:szCs w:val="21"/>
        </w:rPr>
      </w:pPr>
    </w:p>
    <w:p w14:paraId="36EACC6C" w14:textId="5979AD53" w:rsidR="00C31434" w:rsidRPr="00196F70" w:rsidRDefault="00C31434" w:rsidP="00320C4B">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En el mismo sentido, nuestra legislación penal vigente contempla reglas que regulan la prescripción tanto de la acción penal como de la sanción. La acción penal es el punto de partida del proceso judicial y se origina a partir de un delito y del derecho a castigar en titularidad del Estado (</w:t>
      </w:r>
      <w:r w:rsidRPr="00196F70">
        <w:rPr>
          <w:rFonts w:ascii="Century Gothic" w:eastAsia="Quattrocento Sans" w:hAnsi="Century Gothic" w:cs="Segoe UI"/>
          <w:i/>
          <w:color w:val="000000"/>
          <w:sz w:val="21"/>
          <w:szCs w:val="21"/>
        </w:rPr>
        <w:t>ius puniendi</w:t>
      </w:r>
      <w:r w:rsidRPr="00196F70">
        <w:rPr>
          <w:rFonts w:ascii="Century Gothic" w:eastAsia="Quattrocento Sans" w:hAnsi="Century Gothic" w:cs="Segoe UI"/>
          <w:color w:val="000000"/>
          <w:sz w:val="21"/>
          <w:szCs w:val="21"/>
        </w:rPr>
        <w:t>).</w:t>
      </w:r>
    </w:p>
    <w:p w14:paraId="68B12AC4"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lastRenderedPageBreak/>
        <w:t>El artículo 83 de la Ley 599 del 2000 – Código Penal determina los términos de la prescripción de la acción penal de forma genérica</w:t>
      </w:r>
      <w:r>
        <w:rPr>
          <w:rFonts w:ascii="Century Gothic" w:eastAsia="Quattrocento Sans" w:hAnsi="Century Gothic" w:cs="Segoe UI"/>
          <w:color w:val="000000"/>
          <w:sz w:val="21"/>
          <w:szCs w:val="21"/>
        </w:rPr>
        <w:t>,</w:t>
      </w:r>
      <w:r w:rsidRPr="00196F70">
        <w:rPr>
          <w:rFonts w:ascii="Century Gothic" w:eastAsia="Quattrocento Sans" w:hAnsi="Century Gothic" w:cs="Segoe UI"/>
          <w:color w:val="000000"/>
          <w:sz w:val="21"/>
          <w:szCs w:val="21"/>
        </w:rPr>
        <w:t xml:space="preserve"> estableciendo en el primer inciso que prescribirá en un tiempo igual al máximo de la pena fijada en la ley, si fuere privativa de la libertad, pero en ningún caso podrá ser inferior a cinco años ni excederá los veinte, a partir de allí contempla excepciones en sus incisos siguientes:</w:t>
      </w:r>
    </w:p>
    <w:p w14:paraId="6FC291BE" w14:textId="77777777" w:rsidR="00C31434" w:rsidRPr="00196F70"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165E1F7C"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Para las conductas de desaparición forzada, tortura, homicidio de miembro de una organización sindical, homicidio en Defensor de Derechos Humanos, homicidio en periodista y desplazamiento forzado el término será de 30 años.</w:t>
      </w:r>
    </w:p>
    <w:p w14:paraId="33EA9C75"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En virtud de la ratificación del Estatuto de Roma, para los delitos de genocidio, lesa humanidad y crímenes de guerra la acción penal será imprescriptible.</w:t>
      </w:r>
    </w:p>
    <w:p w14:paraId="4A810820"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Para los delitos de los que se ocupa este Proyecto de Ley, la acción prescribe 20 años después de que la víctima haya alcanzado la mayoría de edad.</w:t>
      </w:r>
    </w:p>
    <w:p w14:paraId="53218260"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Cuando las conductas punibles no tengan pena privativa de la libertad, la acción prescribe en 5 años.</w:t>
      </w:r>
    </w:p>
    <w:p w14:paraId="4793730B" w14:textId="77777777" w:rsidR="00C31434" w:rsidRPr="00196F70" w:rsidRDefault="00C31434" w:rsidP="00C31434">
      <w:pPr>
        <w:pStyle w:val="Prrafodelista"/>
        <w:numPr>
          <w:ilvl w:val="0"/>
          <w:numId w:val="39"/>
        </w:numPr>
        <w:pBdr>
          <w:top w:val="nil"/>
          <w:left w:val="nil"/>
          <w:bottom w:val="nil"/>
          <w:right w:val="nil"/>
          <w:between w:val="nil"/>
        </w:pBdr>
        <w:spacing w:after="160"/>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Y, por último, se refiere al aumento del término en la mitad cuando la conducta fuere cometida por servidores públicos o particulares en el ejercicio de funciones públicas.</w:t>
      </w:r>
    </w:p>
    <w:p w14:paraId="7EB1427C" w14:textId="77777777" w:rsidR="00C31434" w:rsidRDefault="00C31434" w:rsidP="00C31434">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Por su parte, el artículo 89 del mismo código se refiere al término en el que prescribe la sanción penal, desarrollando el mandato constitucional del artículo 28 que prohíbe la imprescriptibilidad de las penas o las medidas de aseguramiento, entendido esto en un sentido concreto como el derecho que pierde el Estado de materializar una sanción penal que haya impuesto.</w:t>
      </w:r>
    </w:p>
    <w:p w14:paraId="715098EA" w14:textId="77777777" w:rsidR="00C31434" w:rsidRPr="00196F70" w:rsidRDefault="00C31434" w:rsidP="00C31434">
      <w:pPr>
        <w:pBdr>
          <w:top w:val="nil"/>
          <w:left w:val="nil"/>
          <w:bottom w:val="nil"/>
          <w:right w:val="nil"/>
          <w:between w:val="nil"/>
        </w:pBdr>
        <w:jc w:val="both"/>
        <w:rPr>
          <w:rFonts w:ascii="Century Gothic" w:eastAsia="Quattrocento Sans" w:hAnsi="Century Gothic" w:cs="Segoe UI"/>
          <w:color w:val="000000"/>
          <w:sz w:val="21"/>
          <w:szCs w:val="21"/>
        </w:rPr>
      </w:pPr>
    </w:p>
    <w:p w14:paraId="7A12A217" w14:textId="679D93D2" w:rsidR="00C31434" w:rsidRPr="00196F70" w:rsidRDefault="00C31434" w:rsidP="009A0BF2">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Tenemos entonces que la prescripción de la acción penal impide el inicio de un juicio o puede poner fin a un proceso de una manera formal debido al transcurso natural del tiempo, por eso, cuando se trata de delitos sexuales cometidos en contra de menores, la experiencia jurídica y política en otros países ha sido avanzar en un tratamiento diferencial para ellos (como ocurre con los delitos de competencia de la Corte Pena</w:t>
      </w:r>
      <w:r>
        <w:rPr>
          <w:rFonts w:ascii="Century Gothic" w:eastAsia="Quattrocento Sans" w:hAnsi="Century Gothic" w:cs="Segoe UI"/>
          <w:color w:val="000000"/>
          <w:sz w:val="21"/>
          <w:szCs w:val="21"/>
        </w:rPr>
        <w:t xml:space="preserve">l Internacional), garantizando </w:t>
      </w:r>
      <w:r w:rsidRPr="00196F70">
        <w:rPr>
          <w:rFonts w:ascii="Century Gothic" w:eastAsia="Quattrocento Sans" w:hAnsi="Century Gothic" w:cs="Segoe UI"/>
          <w:color w:val="000000"/>
          <w:sz w:val="21"/>
          <w:szCs w:val="21"/>
        </w:rPr>
        <w:t>que las víctimas de estos delitos no pierdan la posibilidad de acceso a la justicia en ningún momento.</w:t>
      </w:r>
    </w:p>
    <w:p w14:paraId="37E151E1" w14:textId="77777777" w:rsidR="00C31434" w:rsidRDefault="00C31434" w:rsidP="00C31434">
      <w:pPr>
        <w:numPr>
          <w:ilvl w:val="0"/>
          <w:numId w:val="37"/>
        </w:numPr>
        <w:pBdr>
          <w:top w:val="nil"/>
          <w:left w:val="nil"/>
          <w:bottom w:val="nil"/>
          <w:right w:val="nil"/>
          <w:between w:val="nil"/>
        </w:pBdr>
        <w:spacing w:line="276" w:lineRule="auto"/>
        <w:jc w:val="center"/>
        <w:rPr>
          <w:rFonts w:ascii="Century Gothic" w:eastAsia="Quattrocento Sans" w:hAnsi="Century Gothic" w:cs="Segoe UI"/>
          <w:b/>
          <w:color w:val="000000"/>
          <w:sz w:val="21"/>
          <w:szCs w:val="21"/>
        </w:rPr>
      </w:pPr>
      <w:bookmarkStart w:id="1" w:name="_heading=h.gjdgxs" w:colFirst="0" w:colLast="0"/>
      <w:bookmarkEnd w:id="1"/>
      <w:r w:rsidRPr="00196F70">
        <w:rPr>
          <w:rFonts w:ascii="Century Gothic" w:eastAsia="Quattrocento Sans" w:hAnsi="Century Gothic" w:cs="Segoe UI"/>
          <w:b/>
          <w:color w:val="000000"/>
          <w:sz w:val="21"/>
          <w:szCs w:val="21"/>
        </w:rPr>
        <w:t>DERECHO COMPARADO</w:t>
      </w:r>
    </w:p>
    <w:p w14:paraId="2288248B" w14:textId="77777777" w:rsidR="006B049E" w:rsidRDefault="006B049E" w:rsidP="006B049E">
      <w:pPr>
        <w:pBdr>
          <w:top w:val="nil"/>
          <w:left w:val="nil"/>
          <w:bottom w:val="nil"/>
          <w:right w:val="nil"/>
          <w:between w:val="nil"/>
        </w:pBdr>
        <w:spacing w:line="276" w:lineRule="auto"/>
        <w:jc w:val="center"/>
        <w:rPr>
          <w:rFonts w:ascii="Century Gothic" w:eastAsia="Quattrocento Sans" w:hAnsi="Century Gothic" w:cs="Segoe UI"/>
          <w:b/>
          <w:color w:val="000000"/>
          <w:sz w:val="21"/>
          <w:szCs w:val="21"/>
        </w:rPr>
      </w:pPr>
    </w:p>
    <w:p w14:paraId="7A891E92" w14:textId="7FADF879" w:rsidR="00570DA4" w:rsidRPr="008C0AE4" w:rsidRDefault="00570DA4" w:rsidP="00570DA4">
      <w:pPr>
        <w:widowControl w:val="0"/>
        <w:autoSpaceDE w:val="0"/>
        <w:autoSpaceDN w:val="0"/>
        <w:adjustRightInd w:val="0"/>
        <w:spacing w:line="276" w:lineRule="auto"/>
        <w:jc w:val="both"/>
        <w:rPr>
          <w:rFonts w:ascii="Century Gothic" w:eastAsia="Quattrocento Sans" w:hAnsi="Century Gothic" w:cs="Segoe UI"/>
          <w:color w:val="000000"/>
          <w:sz w:val="21"/>
          <w:szCs w:val="21"/>
        </w:rPr>
      </w:pPr>
      <w:r w:rsidRPr="008C0AE4">
        <w:rPr>
          <w:rFonts w:ascii="Century Gothic" w:eastAsia="Quattrocento Sans" w:hAnsi="Century Gothic" w:cs="Segoe UI"/>
          <w:color w:val="000000"/>
          <w:sz w:val="21"/>
          <w:szCs w:val="21"/>
        </w:rPr>
        <w:t>Países</w:t>
      </w:r>
      <w:r w:rsidR="00DB7276" w:rsidRPr="008C0AE4">
        <w:rPr>
          <w:rFonts w:ascii="Century Gothic" w:eastAsia="Quattrocento Sans" w:hAnsi="Century Gothic" w:cs="Segoe UI"/>
          <w:color w:val="000000"/>
          <w:sz w:val="21"/>
          <w:szCs w:val="21"/>
        </w:rPr>
        <w:t xml:space="preserve"> como México, Suiza, Estados Unidos, Canadá, han declarado imprescriptibles los delitos s</w:t>
      </w:r>
      <w:r w:rsidR="008C0AE4">
        <w:rPr>
          <w:rFonts w:ascii="Century Gothic" w:eastAsia="Quattrocento Sans" w:hAnsi="Century Gothic" w:cs="Segoe UI"/>
          <w:color w:val="000000"/>
          <w:sz w:val="21"/>
          <w:szCs w:val="21"/>
        </w:rPr>
        <w:t>exuales contra menores de edad</w:t>
      </w:r>
      <w:r w:rsidR="00DB7276" w:rsidRPr="008C0AE4">
        <w:rPr>
          <w:rFonts w:ascii="Century Gothic" w:eastAsia="Quattrocento Sans" w:hAnsi="Century Gothic" w:cs="Segoe UI"/>
          <w:color w:val="000000"/>
          <w:sz w:val="21"/>
          <w:szCs w:val="21"/>
        </w:rPr>
        <w:t>, siendo Chile y Perú quienes han expedido las normatividades más recientes</w:t>
      </w:r>
      <w:r w:rsidR="00A11849" w:rsidRPr="008C0AE4">
        <w:rPr>
          <w:rStyle w:val="Refdenotaalpie"/>
          <w:rFonts w:ascii="Century Gothic" w:eastAsia="Quattrocento Sans" w:hAnsi="Century Gothic" w:cs="Segoe UI"/>
          <w:color w:val="000000"/>
          <w:sz w:val="21"/>
          <w:szCs w:val="21"/>
        </w:rPr>
        <w:footnoteReference w:id="2"/>
      </w:r>
      <w:r w:rsidRPr="008C0AE4">
        <w:rPr>
          <w:rFonts w:ascii="Century Gothic" w:eastAsia="Quattrocento Sans" w:hAnsi="Century Gothic" w:cs="Segoe UI"/>
          <w:color w:val="000000"/>
          <w:sz w:val="21"/>
          <w:szCs w:val="21"/>
        </w:rPr>
        <w:t>:</w:t>
      </w:r>
    </w:p>
    <w:p w14:paraId="66043C3B" w14:textId="77777777" w:rsidR="00A11849" w:rsidRPr="008C0AE4" w:rsidRDefault="00A11849" w:rsidP="00A11849">
      <w:pPr>
        <w:spacing w:line="276" w:lineRule="auto"/>
        <w:jc w:val="both"/>
        <w:rPr>
          <w:rFonts w:ascii="Century Gothic" w:hAnsi="Century Gothic" w:cs="Segoe UI"/>
          <w:bCs/>
          <w:iCs/>
          <w:sz w:val="21"/>
          <w:szCs w:val="21"/>
        </w:rPr>
      </w:pPr>
    </w:p>
    <w:p w14:paraId="4B879C1B" w14:textId="439F8274" w:rsidR="00A11849" w:rsidRPr="008C0AE4" w:rsidRDefault="00A11849" w:rsidP="00A11849">
      <w:pPr>
        <w:spacing w:line="276" w:lineRule="auto"/>
        <w:jc w:val="both"/>
        <w:rPr>
          <w:rFonts w:ascii="Century Gothic" w:hAnsi="Century Gothic" w:cs="Segoe UI"/>
          <w:bCs/>
          <w:iCs/>
          <w:sz w:val="21"/>
          <w:szCs w:val="21"/>
        </w:rPr>
      </w:pPr>
      <w:r w:rsidRPr="008C0AE4">
        <w:rPr>
          <w:rFonts w:ascii="Century Gothic" w:hAnsi="Century Gothic" w:cs="Segoe UI"/>
          <w:bCs/>
          <w:iCs/>
          <w:sz w:val="21"/>
          <w:szCs w:val="21"/>
        </w:rPr>
        <w:t xml:space="preserve">En </w:t>
      </w:r>
      <w:r w:rsidRPr="008C0AE4">
        <w:rPr>
          <w:rFonts w:ascii="Century Gothic" w:hAnsi="Century Gothic" w:cs="Segoe UI"/>
          <w:b/>
          <w:bCs/>
          <w:iCs/>
          <w:sz w:val="21"/>
          <w:szCs w:val="21"/>
        </w:rPr>
        <w:t>Chile</w:t>
      </w:r>
      <w:r w:rsidRPr="008C0AE4">
        <w:rPr>
          <w:rFonts w:ascii="Century Gothic" w:hAnsi="Century Gothic" w:cs="Segoe UI"/>
          <w:bCs/>
          <w:iCs/>
          <w:sz w:val="21"/>
          <w:szCs w:val="21"/>
        </w:rPr>
        <w:t xml:space="preserve">, de manera unánime fue aprobado por el Órgano Legislativo este país el proyecto de ley denominado “Derecho al tiempo”; la ley No. 211 60, promulgada por el presidente Piñera el pasado 11 de julio de 2019, y que señala que no prescribirá la acción respecto a lo del secuestro o sustracción de un menor, así como la tortura, apremios ilegítimos o tratos crueles, inhumanos o degradantes, todos ellos con ocasión de un acto </w:t>
      </w:r>
      <w:r w:rsidRPr="008C0AE4">
        <w:rPr>
          <w:rFonts w:ascii="Century Gothic" w:hAnsi="Century Gothic" w:cs="Segoe UI"/>
          <w:bCs/>
          <w:iCs/>
          <w:sz w:val="21"/>
          <w:szCs w:val="21"/>
        </w:rPr>
        <w:lastRenderedPageBreak/>
        <w:t xml:space="preserve">de violación, acceso carnal aún menor, estupro u otros delitos sexuales. </w:t>
      </w:r>
      <w:r w:rsidR="000B6958">
        <w:rPr>
          <w:rFonts w:ascii="Century Gothic" w:hAnsi="Century Gothic" w:cs="Segoe UI"/>
          <w:bCs/>
          <w:iCs/>
          <w:sz w:val="21"/>
          <w:szCs w:val="21"/>
        </w:rPr>
        <w:t xml:space="preserve">Así </w:t>
      </w:r>
      <w:r w:rsidRPr="008C0AE4">
        <w:rPr>
          <w:rFonts w:ascii="Century Gothic" w:hAnsi="Century Gothic" w:cs="Segoe UI"/>
          <w:bCs/>
          <w:iCs/>
          <w:sz w:val="21"/>
          <w:szCs w:val="21"/>
        </w:rPr>
        <w:t xml:space="preserve">mismo, no serán prescriptible los delitos de violación; acceso carnal a un menor de edad; introducción de objetos de cualquier índole para un acto sexual o el uso de animales; abuso sexual; y obligar a ver acciones de significación sexual, ver o escuchar pornografía o presenciar espectáculos de dicha índole. </w:t>
      </w:r>
    </w:p>
    <w:p w14:paraId="2C7C92EC" w14:textId="77777777" w:rsidR="00A11849" w:rsidRPr="008C0AE4" w:rsidRDefault="00A11849" w:rsidP="00A11849">
      <w:pPr>
        <w:spacing w:line="276" w:lineRule="auto"/>
        <w:jc w:val="both"/>
        <w:rPr>
          <w:rFonts w:ascii="Century Gothic" w:hAnsi="Century Gothic" w:cs="Segoe UI"/>
          <w:bCs/>
          <w:iCs/>
          <w:sz w:val="21"/>
          <w:szCs w:val="21"/>
        </w:rPr>
      </w:pPr>
    </w:p>
    <w:p w14:paraId="421D3CC7" w14:textId="77777777" w:rsidR="00A11849" w:rsidRPr="008C0AE4" w:rsidRDefault="00A11849" w:rsidP="00A11849">
      <w:pPr>
        <w:spacing w:line="276" w:lineRule="auto"/>
        <w:jc w:val="both"/>
        <w:rPr>
          <w:rFonts w:ascii="Century Gothic" w:hAnsi="Century Gothic" w:cs="Segoe UI"/>
          <w:bCs/>
          <w:iCs/>
          <w:sz w:val="21"/>
          <w:szCs w:val="21"/>
        </w:rPr>
      </w:pPr>
      <w:r w:rsidRPr="008C0AE4">
        <w:rPr>
          <w:rFonts w:ascii="Century Gothic" w:hAnsi="Century Gothic" w:cs="Segoe UI"/>
          <w:bCs/>
          <w:iCs/>
          <w:sz w:val="21"/>
          <w:szCs w:val="21"/>
        </w:rPr>
        <w:t xml:space="preserve">También será imprescriptibles los casos en que se participen en la elaboración de material pornográfico donde estén involucrados menores; facilitar la prostitución de menores; quien acepte realizar actos sexuales en un marco de la prostitución infantil o adolescente; el tráfico de menores, en relación con la explotación sexual; y el robo con violencia, en cuanto a la violación, cuando al momento de la perpetración del hecho la víctima fuese menor de edad. </w:t>
      </w:r>
    </w:p>
    <w:p w14:paraId="76B17E59" w14:textId="77777777" w:rsidR="00A11849" w:rsidRPr="008C0AE4" w:rsidRDefault="00A11849" w:rsidP="00A11849">
      <w:pPr>
        <w:spacing w:line="276" w:lineRule="auto"/>
        <w:jc w:val="both"/>
        <w:rPr>
          <w:rFonts w:ascii="Century Gothic" w:hAnsi="Century Gothic" w:cs="Segoe UI"/>
          <w:bCs/>
          <w:iCs/>
          <w:sz w:val="21"/>
          <w:szCs w:val="21"/>
        </w:rPr>
      </w:pPr>
    </w:p>
    <w:p w14:paraId="1249174B" w14:textId="77777777" w:rsidR="00A11849" w:rsidRPr="008C0AE4" w:rsidRDefault="00A11849" w:rsidP="00A11849">
      <w:pPr>
        <w:spacing w:line="276" w:lineRule="auto"/>
        <w:jc w:val="both"/>
        <w:rPr>
          <w:rFonts w:ascii="Century Gothic" w:hAnsi="Century Gothic" w:cs="Segoe UI"/>
          <w:bCs/>
          <w:iCs/>
          <w:sz w:val="21"/>
          <w:szCs w:val="21"/>
        </w:rPr>
      </w:pPr>
      <w:r w:rsidRPr="008C0AE4">
        <w:rPr>
          <w:rFonts w:ascii="Century Gothic" w:hAnsi="Century Gothic" w:cs="Segoe UI"/>
          <w:bCs/>
          <w:iCs/>
          <w:sz w:val="21"/>
          <w:szCs w:val="21"/>
        </w:rPr>
        <w:t xml:space="preserve">En </w:t>
      </w:r>
      <w:r w:rsidRPr="008C0AE4">
        <w:rPr>
          <w:rFonts w:ascii="Century Gothic" w:hAnsi="Century Gothic" w:cs="Segoe UI"/>
          <w:b/>
          <w:bCs/>
          <w:iCs/>
          <w:sz w:val="21"/>
          <w:szCs w:val="21"/>
        </w:rPr>
        <w:t>Perú,</w:t>
      </w:r>
      <w:r w:rsidRPr="008C0AE4">
        <w:rPr>
          <w:rFonts w:ascii="Century Gothic" w:hAnsi="Century Gothic" w:cs="Segoe UI"/>
          <w:bCs/>
          <w:iCs/>
          <w:sz w:val="21"/>
          <w:szCs w:val="21"/>
        </w:rPr>
        <w:t xml:space="preserve"> en el año 2018 se radicó el proyecto de ley 3008/2017 — CR, con el fin de que sé que modificara el Código Penal Peruano en aras de incorporar la imprescriptibilidad en la comisión del delito de trata de personas con fines de explotación sexual y/o laboral cuando la víctima es menor de edad. En ese mismo año se aprobó y entró en vigor la ley No. 30838, “</w:t>
      </w:r>
      <w:r w:rsidRPr="008C0AE4">
        <w:rPr>
          <w:rFonts w:ascii="Century Gothic" w:hAnsi="Century Gothic" w:cs="Segoe UI"/>
          <w:bCs/>
          <w:i/>
          <w:sz w:val="21"/>
          <w:szCs w:val="21"/>
        </w:rPr>
        <w:t>que modifica el Código Penal y el Código de Ejecución Penal para fortalecer la prevención y sanción de los delitos contra la libertad e indemnidad sexuales”</w:t>
      </w:r>
      <w:r w:rsidRPr="008C0AE4">
        <w:rPr>
          <w:rFonts w:ascii="Century Gothic" w:hAnsi="Century Gothic" w:cs="Segoe UI"/>
          <w:bCs/>
          <w:iCs/>
          <w:sz w:val="21"/>
          <w:szCs w:val="21"/>
        </w:rPr>
        <w:t xml:space="preserve">, específicamente en lo que tiene que ver con la imprescriptibilidad; se adición entonces al Código Penal el articulo 88 A en el cual se estableció </w:t>
      </w:r>
      <w:r w:rsidRPr="008C0AE4">
        <w:rPr>
          <w:rFonts w:ascii="Century Gothic" w:hAnsi="Century Gothic" w:cs="Segoe UI"/>
          <w:bCs/>
          <w:i/>
          <w:sz w:val="21"/>
          <w:szCs w:val="21"/>
        </w:rPr>
        <w:t>“la pena y la acción penal son imprescriptibles en los delitos previstos en los artículos 153, 153-A, 153-B y 153-C y en los Capítulos IX, X y XI del Título IV del Libro Segundo del Código Penal”</w:t>
      </w:r>
      <w:r w:rsidRPr="008C0AE4">
        <w:rPr>
          <w:rFonts w:ascii="Century Gothic" w:hAnsi="Century Gothic" w:cs="Segoe UI"/>
          <w:bCs/>
          <w:iCs/>
          <w:sz w:val="21"/>
          <w:szCs w:val="21"/>
        </w:rPr>
        <w:t xml:space="preserve">. Estas disposiciones se refieren los títulos 153: </w:t>
      </w:r>
      <w:r w:rsidRPr="008C0AE4">
        <w:rPr>
          <w:rFonts w:ascii="Century Gothic" w:hAnsi="Century Gothic" w:cs="Segoe UI"/>
          <w:bCs/>
          <w:i/>
          <w:sz w:val="21"/>
          <w:szCs w:val="21"/>
        </w:rPr>
        <w:t>Trata de Personas</w:t>
      </w:r>
      <w:r w:rsidRPr="008C0AE4">
        <w:rPr>
          <w:rFonts w:ascii="Century Gothic" w:hAnsi="Century Gothic" w:cs="Segoe UI"/>
          <w:bCs/>
          <w:iCs/>
          <w:sz w:val="21"/>
          <w:szCs w:val="21"/>
        </w:rPr>
        <w:t xml:space="preserve">; 153 A: </w:t>
      </w:r>
      <w:r w:rsidRPr="008C0AE4">
        <w:rPr>
          <w:rFonts w:ascii="Century Gothic" w:hAnsi="Century Gothic" w:cs="Segoe UI"/>
          <w:bCs/>
          <w:i/>
          <w:sz w:val="21"/>
          <w:szCs w:val="21"/>
        </w:rPr>
        <w:t>Formas agravadas de la Trata de Personas</w:t>
      </w:r>
      <w:r w:rsidRPr="008C0AE4">
        <w:rPr>
          <w:rFonts w:ascii="Century Gothic" w:hAnsi="Century Gothic" w:cs="Segoe UI"/>
          <w:bCs/>
          <w:iCs/>
          <w:sz w:val="21"/>
          <w:szCs w:val="21"/>
        </w:rPr>
        <w:t xml:space="preserve">; 153 B: </w:t>
      </w:r>
      <w:r w:rsidRPr="008C0AE4">
        <w:rPr>
          <w:rFonts w:ascii="Century Gothic" w:hAnsi="Century Gothic" w:cs="Segoe UI"/>
          <w:bCs/>
          <w:i/>
          <w:sz w:val="21"/>
          <w:szCs w:val="21"/>
        </w:rPr>
        <w:t>Explotación sexual</w:t>
      </w:r>
      <w:r w:rsidRPr="008C0AE4">
        <w:rPr>
          <w:rFonts w:ascii="Century Gothic" w:hAnsi="Century Gothic" w:cs="Segoe UI"/>
          <w:bCs/>
          <w:iCs/>
          <w:sz w:val="21"/>
          <w:szCs w:val="21"/>
        </w:rPr>
        <w:t xml:space="preserve"> y 153 — c: </w:t>
      </w:r>
      <w:r w:rsidRPr="008C0AE4">
        <w:rPr>
          <w:rFonts w:ascii="Century Gothic" w:hAnsi="Century Gothic" w:cs="Segoe UI"/>
          <w:bCs/>
          <w:i/>
          <w:sz w:val="21"/>
          <w:szCs w:val="21"/>
        </w:rPr>
        <w:t>Esclavitud y otras formas de explotación</w:t>
      </w:r>
      <w:r w:rsidRPr="008C0AE4">
        <w:rPr>
          <w:rStyle w:val="Refdenotaalpie"/>
          <w:rFonts w:ascii="Century Gothic" w:hAnsi="Century Gothic" w:cs="Segoe UI"/>
          <w:bCs/>
          <w:i/>
          <w:sz w:val="21"/>
          <w:szCs w:val="21"/>
        </w:rPr>
        <w:footnoteReference w:id="3"/>
      </w:r>
      <w:r w:rsidRPr="008C0AE4">
        <w:rPr>
          <w:rFonts w:ascii="Century Gothic" w:hAnsi="Century Gothic" w:cs="Segoe UI"/>
          <w:bCs/>
          <w:iCs/>
          <w:sz w:val="21"/>
          <w:szCs w:val="21"/>
        </w:rPr>
        <w:t>.</w:t>
      </w:r>
    </w:p>
    <w:p w14:paraId="190F4E92" w14:textId="77777777" w:rsidR="00A11849" w:rsidRPr="008C0AE4" w:rsidRDefault="00A11849" w:rsidP="00A11849">
      <w:pPr>
        <w:spacing w:line="276" w:lineRule="auto"/>
        <w:jc w:val="both"/>
        <w:rPr>
          <w:rFonts w:ascii="Century Gothic" w:hAnsi="Century Gothic" w:cs="Segoe UI"/>
          <w:bCs/>
          <w:iCs/>
          <w:sz w:val="21"/>
          <w:szCs w:val="21"/>
        </w:rPr>
      </w:pPr>
    </w:p>
    <w:p w14:paraId="7B4604F6" w14:textId="77777777" w:rsidR="00A11849" w:rsidRPr="008C0AE4" w:rsidRDefault="00A11849" w:rsidP="00A11849">
      <w:pPr>
        <w:spacing w:line="276" w:lineRule="auto"/>
        <w:jc w:val="both"/>
        <w:rPr>
          <w:rFonts w:ascii="Century Gothic" w:hAnsi="Century Gothic" w:cs="Segoe UI"/>
          <w:bCs/>
          <w:iCs/>
          <w:sz w:val="21"/>
          <w:szCs w:val="21"/>
        </w:rPr>
      </w:pPr>
      <w:r w:rsidRPr="008C0AE4">
        <w:rPr>
          <w:rFonts w:ascii="Century Gothic" w:hAnsi="Century Gothic" w:cs="Segoe UI"/>
          <w:bCs/>
          <w:iCs/>
          <w:sz w:val="21"/>
          <w:szCs w:val="21"/>
        </w:rPr>
        <w:t xml:space="preserve">En </w:t>
      </w:r>
      <w:r w:rsidRPr="008C0AE4">
        <w:rPr>
          <w:rFonts w:ascii="Century Gothic" w:hAnsi="Century Gothic" w:cs="Segoe UI"/>
          <w:b/>
          <w:bCs/>
          <w:iCs/>
          <w:sz w:val="21"/>
          <w:szCs w:val="21"/>
        </w:rPr>
        <w:t>México</w:t>
      </w:r>
      <w:r w:rsidRPr="008C0AE4">
        <w:rPr>
          <w:rFonts w:ascii="Century Gothic" w:hAnsi="Century Gothic" w:cs="Segoe UI"/>
          <w:bCs/>
          <w:iCs/>
          <w:sz w:val="21"/>
          <w:szCs w:val="21"/>
        </w:rPr>
        <w:t xml:space="preserve"> Estado de Oaxaca, el 21 de enero de 2010, se introdujo en su código penal una adición al artículo 122 bis y por esta vía la imprescriptibilidad de la acción penal en los delitos de uso sexual infantil, corrupción de menores, pornografía infantil, hostigamiento, violación, privación ilegal de la libertad, conductas relativas a la trata de personas y otros.</w:t>
      </w:r>
    </w:p>
    <w:p w14:paraId="48394DF9" w14:textId="77777777" w:rsidR="00A11849" w:rsidRPr="008C0AE4" w:rsidRDefault="00A11849" w:rsidP="00A11849">
      <w:pPr>
        <w:spacing w:line="276" w:lineRule="auto"/>
        <w:jc w:val="both"/>
        <w:rPr>
          <w:rFonts w:ascii="Century Gothic" w:hAnsi="Century Gothic" w:cs="Segoe UI"/>
          <w:bCs/>
          <w:iCs/>
          <w:sz w:val="21"/>
          <w:szCs w:val="21"/>
        </w:rPr>
      </w:pPr>
    </w:p>
    <w:p w14:paraId="597125FE" w14:textId="77777777" w:rsidR="00A11849" w:rsidRPr="008C0AE4" w:rsidRDefault="00A11849" w:rsidP="00A11849">
      <w:pPr>
        <w:spacing w:line="276" w:lineRule="auto"/>
        <w:jc w:val="both"/>
        <w:rPr>
          <w:rFonts w:ascii="Century Gothic" w:hAnsi="Century Gothic" w:cs="Segoe UI"/>
          <w:bCs/>
          <w:iCs/>
          <w:sz w:val="21"/>
          <w:szCs w:val="21"/>
        </w:rPr>
      </w:pPr>
      <w:r w:rsidRPr="008C0AE4">
        <w:rPr>
          <w:rFonts w:ascii="Century Gothic" w:hAnsi="Century Gothic" w:cs="Segoe UI"/>
          <w:bCs/>
          <w:iCs/>
          <w:sz w:val="21"/>
          <w:szCs w:val="21"/>
        </w:rPr>
        <w:t xml:space="preserve">En </w:t>
      </w:r>
      <w:r w:rsidRPr="008C0AE4">
        <w:rPr>
          <w:rFonts w:ascii="Century Gothic" w:hAnsi="Century Gothic" w:cs="Segoe UI"/>
          <w:b/>
          <w:bCs/>
          <w:iCs/>
          <w:sz w:val="21"/>
          <w:szCs w:val="21"/>
        </w:rPr>
        <w:t>Suiza</w:t>
      </w:r>
      <w:r w:rsidRPr="008C0AE4">
        <w:rPr>
          <w:rFonts w:ascii="Century Gothic" w:hAnsi="Century Gothic" w:cs="Segoe UI"/>
          <w:bCs/>
          <w:iCs/>
          <w:sz w:val="21"/>
          <w:szCs w:val="21"/>
        </w:rPr>
        <w:t xml:space="preserve">, mediante un referéndum (30 de noviembre de 2008), se reformó la Constitución Federal y se introdujo el artículo 123B para establecer la imprescriptibilidad los delitos sexuales o de pornografía cometidos en contra de niños prepúberes, así como de las penas correspondientes. </w:t>
      </w:r>
    </w:p>
    <w:p w14:paraId="64CB67A0" w14:textId="77777777" w:rsidR="00A11849" w:rsidRPr="008C0AE4" w:rsidRDefault="00A11849" w:rsidP="00A11849">
      <w:pPr>
        <w:spacing w:line="276" w:lineRule="auto"/>
        <w:jc w:val="both"/>
        <w:rPr>
          <w:rFonts w:ascii="Century Gothic" w:hAnsi="Century Gothic" w:cs="Segoe UI"/>
          <w:bCs/>
          <w:iCs/>
          <w:sz w:val="21"/>
          <w:szCs w:val="21"/>
        </w:rPr>
      </w:pPr>
    </w:p>
    <w:p w14:paraId="6A53439B" w14:textId="77777777" w:rsidR="00A11849" w:rsidRPr="008C0AE4" w:rsidRDefault="00A11849" w:rsidP="00A11849">
      <w:pPr>
        <w:spacing w:line="276" w:lineRule="auto"/>
        <w:jc w:val="both"/>
        <w:rPr>
          <w:rFonts w:ascii="Century Gothic" w:hAnsi="Century Gothic" w:cs="Segoe UI"/>
          <w:bCs/>
          <w:iCs/>
          <w:sz w:val="21"/>
          <w:szCs w:val="21"/>
        </w:rPr>
      </w:pPr>
      <w:r w:rsidRPr="008C0AE4">
        <w:rPr>
          <w:rFonts w:ascii="Century Gothic" w:hAnsi="Century Gothic" w:cs="Segoe UI"/>
          <w:bCs/>
          <w:iCs/>
          <w:sz w:val="21"/>
          <w:szCs w:val="21"/>
        </w:rPr>
        <w:t xml:space="preserve">En los </w:t>
      </w:r>
      <w:r w:rsidRPr="008C0AE4">
        <w:rPr>
          <w:rFonts w:ascii="Century Gothic" w:hAnsi="Century Gothic" w:cs="Segoe UI"/>
          <w:b/>
          <w:bCs/>
          <w:iCs/>
          <w:sz w:val="21"/>
          <w:szCs w:val="21"/>
        </w:rPr>
        <w:t>Estados Unidos de América</w:t>
      </w:r>
      <w:r w:rsidRPr="008C0AE4">
        <w:rPr>
          <w:rFonts w:ascii="Century Gothic" w:hAnsi="Century Gothic" w:cs="Segoe UI"/>
          <w:bCs/>
          <w:iCs/>
          <w:sz w:val="21"/>
          <w:szCs w:val="21"/>
        </w:rPr>
        <w:t xml:space="preserve">, en general, se puede afirmar que no hay norma de prescripción para delitos federales que son castigados con la pena de muerte, así como para ciertos delitos federales de terrorismo ni, desde la aprobación de la Ley Adam Walsh </w:t>
      </w:r>
      <w:r w:rsidRPr="008C0AE4">
        <w:rPr>
          <w:rFonts w:ascii="Century Gothic" w:hAnsi="Century Gothic" w:cs="Segoe UI"/>
          <w:bCs/>
          <w:iCs/>
          <w:sz w:val="21"/>
          <w:szCs w:val="21"/>
        </w:rPr>
        <w:lastRenderedPageBreak/>
        <w:t>de Protección y Seguridad del Niño (Adam Walsh Child Protection and Safety Act) del año 2006, para algunos delitos federales contra menores de carácter sexual. Así, cuando se trata del uso sexual o secuestro de un menor de 18 años, bajo jurisdicción federal, la presunción penal de tales crímenes puede llevarse a cabo en cualquier momento. Ahora, a nivel de cada Estado, las normas sobre prescripción de los delitos sexuales son diferentes. En la Florida, por ejemplo, la Ley sobre la Prescripción del Delito de Agresión Sexual (Statues of Limitation for Sexual Battery), Del año 2010, eliminó el plazo de prescripción para la interposición de acciones penales o civiles relativas a delitos sexuales contra menores de 16 años de edad al momento del delito.</w:t>
      </w:r>
    </w:p>
    <w:p w14:paraId="17559363" w14:textId="77777777" w:rsidR="00A11849" w:rsidRPr="008C0AE4" w:rsidRDefault="00A11849" w:rsidP="00A11849">
      <w:pPr>
        <w:spacing w:line="276" w:lineRule="auto"/>
        <w:jc w:val="both"/>
        <w:rPr>
          <w:rFonts w:ascii="Century Gothic" w:hAnsi="Century Gothic" w:cs="Segoe UI"/>
          <w:bCs/>
          <w:iCs/>
          <w:sz w:val="21"/>
          <w:szCs w:val="21"/>
        </w:rPr>
      </w:pPr>
    </w:p>
    <w:p w14:paraId="010AFDC3" w14:textId="01AAA381" w:rsidR="00A11849" w:rsidRPr="008C0AE4" w:rsidRDefault="00A11849" w:rsidP="00DB7276">
      <w:pPr>
        <w:spacing w:line="276" w:lineRule="auto"/>
        <w:jc w:val="both"/>
        <w:rPr>
          <w:rFonts w:ascii="Century Gothic" w:hAnsi="Century Gothic" w:cs="Segoe UI"/>
          <w:bCs/>
          <w:iCs/>
          <w:sz w:val="21"/>
          <w:szCs w:val="21"/>
        </w:rPr>
      </w:pPr>
      <w:r w:rsidRPr="008C0AE4">
        <w:rPr>
          <w:rFonts w:ascii="Century Gothic" w:hAnsi="Century Gothic" w:cs="Segoe UI"/>
          <w:bCs/>
          <w:iCs/>
          <w:sz w:val="21"/>
          <w:szCs w:val="21"/>
        </w:rPr>
        <w:t xml:space="preserve">En </w:t>
      </w:r>
      <w:r w:rsidRPr="008C0AE4">
        <w:rPr>
          <w:rFonts w:ascii="Century Gothic" w:hAnsi="Century Gothic" w:cs="Segoe UI"/>
          <w:b/>
          <w:bCs/>
          <w:iCs/>
          <w:sz w:val="21"/>
          <w:szCs w:val="21"/>
        </w:rPr>
        <w:t xml:space="preserve">Canadá </w:t>
      </w:r>
      <w:r w:rsidRPr="008C0AE4">
        <w:rPr>
          <w:rFonts w:ascii="Century Gothic" w:hAnsi="Century Gothic" w:cs="Segoe UI"/>
          <w:bCs/>
          <w:iCs/>
          <w:sz w:val="21"/>
          <w:szCs w:val="21"/>
        </w:rPr>
        <w:t xml:space="preserve">no hay plazo de prescripción para los delitos graves previstos en el código penal federal. Ahora, particularmente en la provisión de Ontario, con una reforma realizada en 2016, se estableció la imprescriptibilidad de la acción penal por asalto sexual, siempre que la víctima fuese menor de edad o bien, que las partes, al momento de cometerse el delito estuviese en una relación íntima, o la víctima fuera económica, emocional o físicamente, o de otro modo, dependiendo del ofensor (artículo 16(1)(h)). En las demás conductas de carácter sexual, diferentes del al asalto, la imprescriptibilidad sólo operará si, al momento de cometerse el delito, la víctima fuera menor de edad o estuviera a cargo del perpetrador o éste estuviera en la posición de confianza o autoridad, o la víctima fue económica, emocional físicamente otro modo de pendiente de éste. </w:t>
      </w:r>
    </w:p>
    <w:p w14:paraId="64F0E37F" w14:textId="77777777" w:rsidR="00635B07" w:rsidRPr="00196F70" w:rsidRDefault="00635B07" w:rsidP="00231373">
      <w:pPr>
        <w:jc w:val="both"/>
        <w:rPr>
          <w:rFonts w:ascii="Century Gothic" w:eastAsia="Quattrocento Sans" w:hAnsi="Century Gothic" w:cs="Segoe UI"/>
          <w:sz w:val="21"/>
          <w:szCs w:val="21"/>
        </w:rPr>
      </w:pPr>
    </w:p>
    <w:p w14:paraId="165DF748" w14:textId="77777777" w:rsidR="00C31434" w:rsidRDefault="00C31434" w:rsidP="00C31434">
      <w:pPr>
        <w:numPr>
          <w:ilvl w:val="0"/>
          <w:numId w:val="37"/>
        </w:numPr>
        <w:pBdr>
          <w:top w:val="nil"/>
          <w:left w:val="nil"/>
          <w:bottom w:val="nil"/>
          <w:right w:val="nil"/>
          <w:between w:val="nil"/>
        </w:pBdr>
        <w:spacing w:line="276" w:lineRule="auto"/>
        <w:jc w:val="center"/>
        <w:rPr>
          <w:rFonts w:ascii="Century Gothic" w:eastAsia="Quattrocento Sans" w:hAnsi="Century Gothic" w:cs="Segoe UI"/>
          <w:b/>
          <w:color w:val="000000"/>
          <w:sz w:val="21"/>
          <w:szCs w:val="21"/>
        </w:rPr>
      </w:pPr>
      <w:r w:rsidRPr="00196F70">
        <w:rPr>
          <w:rFonts w:ascii="Century Gothic" w:eastAsia="Quattrocento Sans" w:hAnsi="Century Gothic" w:cs="Segoe UI"/>
          <w:b/>
          <w:color w:val="000000"/>
          <w:sz w:val="21"/>
          <w:szCs w:val="21"/>
        </w:rPr>
        <w:t>CONSTITUCIONALIDAD DE LA INICIATIVA</w:t>
      </w:r>
    </w:p>
    <w:p w14:paraId="2DE43F61" w14:textId="77777777" w:rsidR="00C31434" w:rsidRPr="00196F70" w:rsidRDefault="00C31434" w:rsidP="00231373">
      <w:pPr>
        <w:pBdr>
          <w:top w:val="nil"/>
          <w:left w:val="nil"/>
          <w:bottom w:val="nil"/>
          <w:right w:val="nil"/>
          <w:between w:val="nil"/>
        </w:pBdr>
        <w:ind w:left="1080"/>
        <w:jc w:val="both"/>
        <w:rPr>
          <w:rFonts w:ascii="Century Gothic" w:eastAsia="Quattrocento Sans" w:hAnsi="Century Gothic" w:cs="Segoe UI"/>
          <w:b/>
          <w:color w:val="000000"/>
          <w:sz w:val="21"/>
          <w:szCs w:val="21"/>
        </w:rPr>
      </w:pPr>
    </w:p>
    <w:p w14:paraId="0B73D83B" w14:textId="375B83AF" w:rsidR="00C31434" w:rsidRPr="00196F70"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El Estado colombiano ha suscrito y ratificado una serie de Instrumentos Internacionales que en virtud del artículo 93 de la Constitución Política hacen parte del bloque de constitucionalidad y permean nuestro ordenamiento legal, en particular, lo que tiene que ver con el interés superior del niño:</w:t>
      </w:r>
    </w:p>
    <w:p w14:paraId="6C80663E" w14:textId="77777777" w:rsidR="00A1240A" w:rsidRDefault="00A1240A" w:rsidP="00A1240A">
      <w:pPr>
        <w:pBdr>
          <w:top w:val="nil"/>
          <w:left w:val="nil"/>
          <w:bottom w:val="nil"/>
          <w:right w:val="nil"/>
          <w:between w:val="nil"/>
        </w:pBdr>
        <w:spacing w:line="276" w:lineRule="auto"/>
        <w:ind w:left="360"/>
        <w:jc w:val="both"/>
        <w:rPr>
          <w:rFonts w:ascii="Century Gothic" w:eastAsia="Quattrocento Sans" w:hAnsi="Century Gothic" w:cs="Segoe UI"/>
          <w:color w:val="000000"/>
          <w:sz w:val="21"/>
          <w:szCs w:val="21"/>
        </w:rPr>
      </w:pPr>
    </w:p>
    <w:p w14:paraId="543B702A" w14:textId="5A1180A0" w:rsidR="00C31434" w:rsidRPr="00196F70" w:rsidRDefault="00C31434" w:rsidP="00C31434">
      <w:pPr>
        <w:numPr>
          <w:ilvl w:val="0"/>
          <w:numId w:val="38"/>
        </w:num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Declaración sobre los Derechos del Niño: su principio 2 dispone que los niños gozarán de especial protección, y serán provistos de las oportunidades y recursos necesarios para desarrollarse física, mental, moral, espiritual y socialmente de manera normal y sana, y en condiciones de libertad y dignidad.</w:t>
      </w:r>
    </w:p>
    <w:p w14:paraId="5E989DD6" w14:textId="77777777" w:rsidR="00C31434" w:rsidRDefault="00C31434" w:rsidP="00C31434">
      <w:pPr>
        <w:numPr>
          <w:ilvl w:val="0"/>
          <w:numId w:val="38"/>
        </w:num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 xml:space="preserve">Pacto Internacional de Derechos Civiles y Políticos: su artículo 24.1 determina que </w:t>
      </w:r>
      <w:r w:rsidRPr="00196F70">
        <w:rPr>
          <w:rFonts w:ascii="Century Gothic" w:eastAsia="Quattrocento Sans" w:hAnsi="Century Gothic" w:cs="Segoe UI"/>
          <w:i/>
          <w:color w:val="000000"/>
          <w:sz w:val="21"/>
          <w:szCs w:val="21"/>
        </w:rPr>
        <w:t>“todo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p>
    <w:p w14:paraId="1FEC05AB" w14:textId="77777777" w:rsidR="00C31434" w:rsidRPr="00D714BE" w:rsidRDefault="00C31434" w:rsidP="00C31434">
      <w:pPr>
        <w:numPr>
          <w:ilvl w:val="0"/>
          <w:numId w:val="38"/>
        </w:num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D714BE">
        <w:rPr>
          <w:rFonts w:ascii="Century Gothic" w:eastAsia="Quattrocento Sans" w:hAnsi="Century Gothic" w:cs="Segoe UI"/>
          <w:color w:val="000000"/>
          <w:sz w:val="21"/>
          <w:szCs w:val="21"/>
        </w:rPr>
        <w:t xml:space="preserve">Convención Americana de Derechos Humanos: su artículo 19 estipula que </w:t>
      </w:r>
      <w:r w:rsidRPr="00D714BE">
        <w:rPr>
          <w:rFonts w:ascii="Century Gothic" w:eastAsia="Quattrocento Sans" w:hAnsi="Century Gothic" w:cs="Segoe UI"/>
          <w:i/>
          <w:color w:val="000000"/>
          <w:sz w:val="21"/>
          <w:szCs w:val="21"/>
        </w:rPr>
        <w:t>“todo niño tiene derecho a las medidas de protección que su condición de menor requiere por parte de su familia, de la sociedad y del Estado”.</w:t>
      </w:r>
    </w:p>
    <w:p w14:paraId="3CA22C51" w14:textId="12AB96BD" w:rsidR="00C31434" w:rsidRPr="000672C4" w:rsidRDefault="00C31434" w:rsidP="00C31434">
      <w:pPr>
        <w:numPr>
          <w:ilvl w:val="0"/>
          <w:numId w:val="38"/>
        </w:num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196F70">
        <w:rPr>
          <w:rFonts w:ascii="Century Gothic" w:eastAsia="Quattrocento Sans" w:hAnsi="Century Gothic" w:cs="Segoe UI"/>
          <w:color w:val="000000"/>
          <w:sz w:val="21"/>
          <w:szCs w:val="21"/>
        </w:rPr>
        <w:t xml:space="preserve">Pacto Internacional de Derechos Económicos, Sociales y Culturales: su artículo 10-3 ordena que </w:t>
      </w:r>
      <w:r w:rsidRPr="00196F70">
        <w:rPr>
          <w:rFonts w:ascii="Century Gothic" w:eastAsia="Quattrocento Sans" w:hAnsi="Century Gothic" w:cs="Segoe UI"/>
          <w:i/>
          <w:color w:val="000000"/>
          <w:sz w:val="21"/>
          <w:szCs w:val="21"/>
        </w:rPr>
        <w:t xml:space="preserve">“se deben adoptar medidas especiales de protección y asistencia a favor </w:t>
      </w:r>
      <w:r w:rsidRPr="00196F70">
        <w:rPr>
          <w:rFonts w:ascii="Century Gothic" w:eastAsia="Quattrocento Sans" w:hAnsi="Century Gothic" w:cs="Segoe UI"/>
          <w:i/>
          <w:color w:val="000000"/>
          <w:sz w:val="21"/>
          <w:szCs w:val="21"/>
        </w:rPr>
        <w:lastRenderedPageBreak/>
        <w:t>de todos los niños y adolescentes, sin discriminación alguna por razón de filiación o cualquier otra condición”.</w:t>
      </w:r>
    </w:p>
    <w:p w14:paraId="6DBA42B7" w14:textId="77777777" w:rsidR="000672C4" w:rsidRPr="000672C4" w:rsidRDefault="000672C4" w:rsidP="000672C4">
      <w:pPr>
        <w:numPr>
          <w:ilvl w:val="0"/>
          <w:numId w:val="38"/>
        </w:numPr>
        <w:pBdr>
          <w:top w:val="nil"/>
          <w:left w:val="nil"/>
          <w:bottom w:val="nil"/>
          <w:right w:val="nil"/>
          <w:between w:val="nil"/>
        </w:pBdr>
        <w:spacing w:line="276" w:lineRule="auto"/>
        <w:jc w:val="both"/>
        <w:rPr>
          <w:rFonts w:ascii="Century Gothic" w:eastAsia="Quattrocento Sans" w:hAnsi="Century Gothic" w:cs="Segoe UI"/>
          <w:i/>
          <w:color w:val="000000"/>
          <w:sz w:val="21"/>
          <w:szCs w:val="21"/>
        </w:rPr>
      </w:pPr>
      <w:r w:rsidRPr="000672C4">
        <w:rPr>
          <w:rFonts w:ascii="Century Gothic" w:eastAsia="Quattrocento Sans" w:hAnsi="Century Gothic" w:cs="Segoe UI"/>
          <w:color w:val="000000"/>
          <w:sz w:val="21"/>
          <w:szCs w:val="21"/>
        </w:rPr>
        <w:t xml:space="preserve">Convención </w:t>
      </w:r>
      <w:r>
        <w:rPr>
          <w:rFonts w:ascii="Century Gothic" w:eastAsia="Quattrocento Sans" w:hAnsi="Century Gothic" w:cs="Segoe UI"/>
          <w:color w:val="000000"/>
          <w:sz w:val="21"/>
          <w:szCs w:val="21"/>
        </w:rPr>
        <w:t xml:space="preserve">Internacional </w:t>
      </w:r>
      <w:r w:rsidRPr="000672C4">
        <w:rPr>
          <w:rFonts w:ascii="Century Gothic" w:eastAsia="Quattrocento Sans" w:hAnsi="Century Gothic" w:cs="Segoe UI"/>
          <w:color w:val="000000"/>
          <w:sz w:val="21"/>
          <w:szCs w:val="21"/>
        </w:rPr>
        <w:t xml:space="preserve">sobre los Derechos del Niño: </w:t>
      </w:r>
      <w:r>
        <w:rPr>
          <w:rFonts w:ascii="Century Gothic" w:eastAsia="Quattrocento Sans" w:hAnsi="Century Gothic" w:cs="Segoe UI"/>
          <w:sz w:val="21"/>
          <w:szCs w:val="21"/>
        </w:rPr>
        <w:t xml:space="preserve">en el numeral 1° del artículo </w:t>
      </w:r>
      <w:r w:rsidRPr="000672C4">
        <w:rPr>
          <w:rFonts w:ascii="Century Gothic" w:eastAsia="Quattrocento Sans" w:hAnsi="Century Gothic" w:cs="Segoe UI"/>
          <w:sz w:val="21"/>
          <w:szCs w:val="21"/>
        </w:rPr>
        <w:t>3 establece</w:t>
      </w:r>
      <w:r>
        <w:rPr>
          <w:rFonts w:ascii="Century Gothic" w:eastAsia="Quattrocento Sans" w:hAnsi="Century Gothic" w:cs="Segoe UI"/>
          <w:sz w:val="21"/>
          <w:szCs w:val="21"/>
        </w:rPr>
        <w:t xml:space="preserve"> </w:t>
      </w:r>
      <w:r w:rsidRPr="000672C4">
        <w:rPr>
          <w:rFonts w:ascii="Century Gothic" w:eastAsia="Quattrocento Sans" w:hAnsi="Century Gothic" w:cs="Segoe UI"/>
          <w:i/>
          <w:sz w:val="21"/>
          <w:szCs w:val="21"/>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0672C4">
        <w:rPr>
          <w:rFonts w:ascii="Century Gothic" w:eastAsia="Quattrocento Sans" w:hAnsi="Century Gothic" w:cs="Segoe UI"/>
          <w:sz w:val="21"/>
          <w:szCs w:val="21"/>
        </w:rPr>
        <w:t xml:space="preserve"> </w:t>
      </w:r>
    </w:p>
    <w:p w14:paraId="5EC810E9" w14:textId="77777777" w:rsidR="000672C4" w:rsidRDefault="000672C4" w:rsidP="000672C4">
      <w:pPr>
        <w:pBdr>
          <w:top w:val="nil"/>
          <w:left w:val="nil"/>
          <w:bottom w:val="nil"/>
          <w:right w:val="nil"/>
          <w:between w:val="nil"/>
        </w:pBdr>
        <w:ind w:left="360"/>
        <w:jc w:val="both"/>
        <w:rPr>
          <w:rFonts w:ascii="Century Gothic" w:eastAsia="Quattrocento Sans" w:hAnsi="Century Gothic" w:cs="Segoe UI"/>
          <w:sz w:val="21"/>
          <w:szCs w:val="21"/>
        </w:rPr>
      </w:pPr>
    </w:p>
    <w:p w14:paraId="6EC2B230" w14:textId="4AC1332F" w:rsidR="000672C4" w:rsidRDefault="000672C4" w:rsidP="00C34E9B">
      <w:pPr>
        <w:pBdr>
          <w:top w:val="nil"/>
          <w:left w:val="nil"/>
          <w:bottom w:val="nil"/>
          <w:right w:val="nil"/>
          <w:between w:val="nil"/>
        </w:pBdr>
        <w:spacing w:line="276" w:lineRule="auto"/>
        <w:jc w:val="both"/>
        <w:rPr>
          <w:rFonts w:ascii="Century Gothic" w:eastAsia="Quattrocento Sans" w:hAnsi="Century Gothic" w:cs="Segoe UI"/>
          <w:i/>
          <w:color w:val="000000"/>
          <w:sz w:val="21"/>
          <w:szCs w:val="21"/>
        </w:rPr>
      </w:pPr>
      <w:r>
        <w:rPr>
          <w:rFonts w:ascii="Century Gothic" w:eastAsia="Quattrocento Sans" w:hAnsi="Century Gothic" w:cs="Segoe UI"/>
          <w:sz w:val="21"/>
          <w:szCs w:val="21"/>
        </w:rPr>
        <w:t xml:space="preserve">De esta forma, el artículo establece </w:t>
      </w:r>
      <w:r w:rsidRPr="000672C4">
        <w:rPr>
          <w:rFonts w:ascii="Century Gothic" w:eastAsia="Quattrocento Sans" w:hAnsi="Century Gothic" w:cs="Segoe UI"/>
          <w:sz w:val="21"/>
          <w:szCs w:val="21"/>
        </w:rPr>
        <w:t>el interés superior</w:t>
      </w:r>
      <w:r>
        <w:rPr>
          <w:rFonts w:ascii="Century Gothic" w:eastAsia="Quattrocento Sans" w:hAnsi="Century Gothic" w:cs="Segoe UI"/>
          <w:sz w:val="21"/>
          <w:szCs w:val="21"/>
        </w:rPr>
        <w:t xml:space="preserve"> del niño, con el objetivo de garantizar el disfrute pleno y e</w:t>
      </w:r>
      <w:r w:rsidRPr="000672C4">
        <w:rPr>
          <w:rFonts w:ascii="Century Gothic" w:eastAsia="Quattrocento Sans" w:hAnsi="Century Gothic" w:cs="Segoe UI"/>
          <w:sz w:val="21"/>
          <w:szCs w:val="21"/>
        </w:rPr>
        <w:t xml:space="preserve">fectivo de todos sus derechos, en especial la protección contra cualquiera de las modalidades de explotación sexual. </w:t>
      </w:r>
      <w:r>
        <w:rPr>
          <w:rFonts w:ascii="Century Gothic" w:eastAsia="Quattrocento Sans" w:hAnsi="Century Gothic" w:cs="Segoe UI"/>
          <w:sz w:val="21"/>
          <w:szCs w:val="21"/>
        </w:rPr>
        <w:t>E</w:t>
      </w:r>
      <w:r w:rsidRPr="000672C4">
        <w:rPr>
          <w:rFonts w:ascii="Century Gothic" w:eastAsia="Quattrocento Sans" w:hAnsi="Century Gothic" w:cs="Segoe UI"/>
          <w:sz w:val="21"/>
          <w:szCs w:val="21"/>
        </w:rPr>
        <w:t xml:space="preserve">sta disposición pretende que bajo todo punto de vista el interés superior del niño prime sobre cualquier otro interés, garantizando su integridad física, psicológica, moral y espiritual, y promoviendo su dignidad humana. </w:t>
      </w:r>
    </w:p>
    <w:p w14:paraId="72B877F1" w14:textId="77777777" w:rsidR="000672C4" w:rsidRDefault="000672C4" w:rsidP="000672C4">
      <w:pPr>
        <w:pBdr>
          <w:top w:val="nil"/>
          <w:left w:val="nil"/>
          <w:bottom w:val="nil"/>
          <w:right w:val="nil"/>
          <w:between w:val="nil"/>
        </w:pBdr>
        <w:spacing w:line="276" w:lineRule="auto"/>
        <w:ind w:left="360"/>
        <w:jc w:val="both"/>
        <w:rPr>
          <w:rFonts w:ascii="Century Gothic" w:eastAsia="Quattrocento Sans" w:hAnsi="Century Gothic" w:cs="Segoe UI"/>
          <w:i/>
          <w:color w:val="000000"/>
          <w:sz w:val="21"/>
          <w:szCs w:val="21"/>
        </w:rPr>
      </w:pPr>
    </w:p>
    <w:p w14:paraId="46197429" w14:textId="3E3AD98B" w:rsidR="000672C4" w:rsidRPr="000672C4" w:rsidRDefault="000672C4" w:rsidP="00C34E9B">
      <w:pPr>
        <w:pBdr>
          <w:top w:val="nil"/>
          <w:left w:val="nil"/>
          <w:bottom w:val="nil"/>
          <w:right w:val="nil"/>
          <w:between w:val="nil"/>
        </w:pBdr>
        <w:spacing w:line="276" w:lineRule="auto"/>
        <w:jc w:val="both"/>
        <w:rPr>
          <w:rFonts w:ascii="Century Gothic" w:eastAsia="Quattrocento Sans" w:hAnsi="Century Gothic" w:cs="Segoe UI"/>
          <w:i/>
          <w:color w:val="000000"/>
          <w:sz w:val="21"/>
          <w:szCs w:val="21"/>
        </w:rPr>
      </w:pPr>
      <w:r w:rsidRPr="000672C4">
        <w:rPr>
          <w:rFonts w:ascii="Century Gothic" w:eastAsia="Quattrocento Sans" w:hAnsi="Century Gothic" w:cs="Segoe UI"/>
          <w:sz w:val="21"/>
          <w:szCs w:val="21"/>
        </w:rPr>
        <w:t xml:space="preserve">En este sentido, la Observación General N° 14 de Naciones Unidas sobre el interés superior del niño, indica textualmente: </w:t>
      </w:r>
    </w:p>
    <w:p w14:paraId="598A1CF6" w14:textId="77777777" w:rsidR="000672C4" w:rsidRPr="00055FC5" w:rsidRDefault="000672C4" w:rsidP="000672C4">
      <w:pPr>
        <w:spacing w:line="276" w:lineRule="auto"/>
        <w:jc w:val="both"/>
        <w:rPr>
          <w:rFonts w:ascii="Century Gothic" w:eastAsia="Quattrocento Sans" w:hAnsi="Century Gothic" w:cs="Segoe UI"/>
          <w:sz w:val="21"/>
          <w:szCs w:val="21"/>
        </w:rPr>
      </w:pPr>
    </w:p>
    <w:p w14:paraId="228601EE" w14:textId="7D58E99B" w:rsidR="000672C4" w:rsidRPr="00A1240A" w:rsidRDefault="000672C4" w:rsidP="000672C4">
      <w:pPr>
        <w:spacing w:line="276" w:lineRule="auto"/>
        <w:ind w:left="708" w:right="616"/>
        <w:jc w:val="both"/>
        <w:rPr>
          <w:rFonts w:ascii="Century Gothic" w:eastAsia="Quattrocento Sans" w:hAnsi="Century Gothic" w:cs="Segoe UI"/>
          <w:sz w:val="18"/>
          <w:szCs w:val="18"/>
        </w:rPr>
      </w:pPr>
      <w:r w:rsidRPr="00747202">
        <w:rPr>
          <w:rFonts w:ascii="Century Gothic" w:eastAsia="Quattrocento Sans" w:hAnsi="Century Gothic" w:cs="Segoe UI"/>
          <w:i/>
          <w:sz w:val="18"/>
          <w:szCs w:val="18"/>
        </w:rPr>
        <w:t xml:space="preserve">(…) siempre que se tenga que tomar una decisión que afecte a un niño en concreto, a un grupo de niños concreto o a los niños en general, el proceso de adopción de decisiones deberá incluir una estimación de las posibles repercusiones (positivas o negativas) de la decisión en el niño o los niños interesados. La evaluación y determinación del interés superior del niño requieren garantías procesales. Además, la justificación de las decisiones debe dejar patente que se ha tenido en cuenta explícitamente ese derecho. En este sentido, </w:t>
      </w:r>
      <w:r w:rsidRPr="00747202">
        <w:rPr>
          <w:rFonts w:ascii="Century Gothic" w:eastAsia="Quattrocento Sans" w:hAnsi="Century Gothic" w:cs="Segoe UI"/>
          <w:b/>
          <w:i/>
          <w:sz w:val="18"/>
          <w:szCs w:val="18"/>
        </w:rPr>
        <w:t>los Estados partes deberán explicar cómo se ha respetado este derecho en la decisión, es decir, qué se ha considerado que atendía al interés superior del niño, en qué criterios se ha basado la decisión y cómo se han ponderado los intereses del niño frente a otras consideraciones, ya se trate de cuestiones normativas generales o de casos concretos</w:t>
      </w:r>
      <w:r w:rsidR="00747202">
        <w:rPr>
          <w:rFonts w:ascii="Century Gothic" w:eastAsia="Quattrocento Sans" w:hAnsi="Century Gothic" w:cs="Segoe UI"/>
          <w:sz w:val="18"/>
          <w:szCs w:val="18"/>
        </w:rPr>
        <w:t>.</w:t>
      </w:r>
      <w:r w:rsidRPr="00A1240A">
        <w:rPr>
          <w:rFonts w:ascii="Century Gothic" w:eastAsia="Quattrocento Sans" w:hAnsi="Century Gothic" w:cs="Segoe UI"/>
          <w:sz w:val="18"/>
          <w:szCs w:val="18"/>
        </w:rPr>
        <w:t xml:space="preserve"> (Comité de los Derechos del Niño, 2013).</w:t>
      </w:r>
      <w:r w:rsidR="00747202">
        <w:rPr>
          <w:rFonts w:ascii="Century Gothic" w:eastAsia="Quattrocento Sans" w:hAnsi="Century Gothic" w:cs="Segoe UI"/>
          <w:sz w:val="18"/>
          <w:szCs w:val="18"/>
        </w:rPr>
        <w:t xml:space="preserve"> (Negrilla fuera del texto)</w:t>
      </w:r>
    </w:p>
    <w:p w14:paraId="0A04C4E8" w14:textId="77777777" w:rsidR="000672C4" w:rsidRPr="00055FC5" w:rsidRDefault="000672C4" w:rsidP="000672C4">
      <w:pPr>
        <w:spacing w:line="276" w:lineRule="auto"/>
        <w:jc w:val="both"/>
        <w:rPr>
          <w:rFonts w:ascii="Century Gothic" w:eastAsia="Quattrocento Sans" w:hAnsi="Century Gothic" w:cs="Segoe UI"/>
          <w:sz w:val="21"/>
          <w:szCs w:val="21"/>
        </w:rPr>
      </w:pPr>
    </w:p>
    <w:p w14:paraId="253386C6" w14:textId="72FCE659" w:rsidR="000672C4" w:rsidRDefault="00B07C98" w:rsidP="000672C4">
      <w:pPr>
        <w:spacing w:line="276" w:lineRule="auto"/>
        <w:jc w:val="both"/>
        <w:rPr>
          <w:rFonts w:ascii="Century Gothic" w:eastAsia="Quattrocento Sans" w:hAnsi="Century Gothic" w:cs="Segoe UI"/>
          <w:sz w:val="21"/>
          <w:szCs w:val="21"/>
        </w:rPr>
      </w:pPr>
      <w:r>
        <w:rPr>
          <w:rFonts w:ascii="Century Gothic" w:eastAsia="Quattrocento Sans" w:hAnsi="Century Gothic" w:cs="Segoe UI"/>
          <w:sz w:val="21"/>
          <w:szCs w:val="21"/>
        </w:rPr>
        <w:t>Como se evidencia</w:t>
      </w:r>
      <w:r w:rsidR="000672C4" w:rsidRPr="00055FC5">
        <w:rPr>
          <w:rFonts w:ascii="Century Gothic" w:eastAsia="Quattrocento Sans" w:hAnsi="Century Gothic" w:cs="Segoe UI"/>
          <w:sz w:val="21"/>
          <w:szCs w:val="21"/>
        </w:rPr>
        <w:t>, la observación del Comité de los Derechos de los Niños resalta que cualquier medida que tenga que ver con uno o varios niños, su interés superior deberá ser</w:t>
      </w:r>
      <w:r w:rsidR="00747202">
        <w:rPr>
          <w:rFonts w:ascii="Century Gothic" w:eastAsia="Quattrocento Sans" w:hAnsi="Century Gothic" w:cs="Segoe UI"/>
          <w:sz w:val="21"/>
          <w:szCs w:val="21"/>
        </w:rPr>
        <w:t xml:space="preserve"> una consideración primordial </w:t>
      </w:r>
      <w:r w:rsidR="000672C4" w:rsidRPr="00055FC5">
        <w:rPr>
          <w:rFonts w:ascii="Century Gothic" w:eastAsia="Quattrocento Sans" w:hAnsi="Century Gothic" w:cs="Segoe UI"/>
          <w:sz w:val="21"/>
          <w:szCs w:val="21"/>
        </w:rPr>
        <w:t>que se atenderá. Entiéndase por medida</w:t>
      </w:r>
      <w:r w:rsidR="00747202">
        <w:rPr>
          <w:rFonts w:ascii="Century Gothic" w:eastAsia="Quattrocento Sans" w:hAnsi="Century Gothic" w:cs="Segoe UI"/>
          <w:sz w:val="21"/>
          <w:szCs w:val="21"/>
        </w:rPr>
        <w:t>s,</w:t>
      </w:r>
      <w:r w:rsidR="000672C4" w:rsidRPr="00055FC5">
        <w:rPr>
          <w:rFonts w:ascii="Century Gothic" w:eastAsia="Quattrocento Sans" w:hAnsi="Century Gothic" w:cs="Segoe UI"/>
          <w:sz w:val="21"/>
          <w:szCs w:val="21"/>
        </w:rPr>
        <w:t xml:space="preserve"> las decisiones, actos, conductas y demás, asumidas por el Estado y que involuc</w:t>
      </w:r>
      <w:r w:rsidR="00747202">
        <w:rPr>
          <w:rFonts w:ascii="Century Gothic" w:eastAsia="Quattrocento Sans" w:hAnsi="Century Gothic" w:cs="Segoe UI"/>
          <w:sz w:val="21"/>
          <w:szCs w:val="21"/>
        </w:rPr>
        <w:t>ren la afectación de</w:t>
      </w:r>
      <w:r w:rsidR="000672C4" w:rsidRPr="00055FC5">
        <w:rPr>
          <w:rFonts w:ascii="Century Gothic" w:eastAsia="Quattrocento Sans" w:hAnsi="Century Gothic" w:cs="Segoe UI"/>
          <w:sz w:val="21"/>
          <w:szCs w:val="21"/>
        </w:rPr>
        <w:t xml:space="preserve"> uno o más niños. Por tal motivo, al considerarse un deber primordial del Estado, su responsabilidad recae sobre todas las instituciones públicas y privadas de bienestar social, los tribunales, las autoridades administrativas y los órganos legislativos. </w:t>
      </w:r>
    </w:p>
    <w:p w14:paraId="48E00C8D" w14:textId="77777777" w:rsidR="00C34E9B" w:rsidRPr="00055FC5" w:rsidRDefault="00C34E9B" w:rsidP="000672C4">
      <w:pPr>
        <w:spacing w:line="276" w:lineRule="auto"/>
        <w:jc w:val="both"/>
        <w:rPr>
          <w:rFonts w:ascii="Century Gothic" w:eastAsia="Quattrocento Sans" w:hAnsi="Century Gothic" w:cs="Segoe UI"/>
          <w:sz w:val="21"/>
          <w:szCs w:val="21"/>
        </w:rPr>
      </w:pPr>
    </w:p>
    <w:p w14:paraId="44C60D68" w14:textId="3304E879" w:rsidR="000672C4" w:rsidRDefault="00747202" w:rsidP="000672C4">
      <w:pPr>
        <w:spacing w:line="276" w:lineRule="auto"/>
        <w:jc w:val="both"/>
        <w:rPr>
          <w:rFonts w:ascii="Century Gothic" w:eastAsia="Quattrocento Sans" w:hAnsi="Century Gothic" w:cs="Segoe UI"/>
          <w:sz w:val="21"/>
          <w:szCs w:val="21"/>
        </w:rPr>
      </w:pPr>
      <w:r>
        <w:rPr>
          <w:rFonts w:ascii="Century Gothic" w:eastAsia="Quattrocento Sans" w:hAnsi="Century Gothic" w:cs="Segoe UI"/>
          <w:sz w:val="21"/>
          <w:szCs w:val="21"/>
        </w:rPr>
        <w:t>Así las cosas, e</w:t>
      </w:r>
      <w:r w:rsidR="000672C4" w:rsidRPr="00055FC5">
        <w:rPr>
          <w:rFonts w:ascii="Century Gothic" w:eastAsia="Quattrocento Sans" w:hAnsi="Century Gothic" w:cs="Segoe UI"/>
          <w:sz w:val="21"/>
          <w:szCs w:val="21"/>
        </w:rPr>
        <w:t>s obligación de los órganos legislativos de los Estados partes de esta Convención, garantizar que cualquier Acto Legislativo o Ley</w:t>
      </w:r>
      <w:r>
        <w:rPr>
          <w:rFonts w:ascii="Century Gothic" w:eastAsia="Quattrocento Sans" w:hAnsi="Century Gothic" w:cs="Segoe UI"/>
          <w:sz w:val="21"/>
          <w:szCs w:val="21"/>
        </w:rPr>
        <w:t>,</w:t>
      </w:r>
      <w:r w:rsidR="00B07C98">
        <w:rPr>
          <w:rFonts w:ascii="Century Gothic" w:eastAsia="Quattrocento Sans" w:hAnsi="Century Gothic" w:cs="Segoe UI"/>
          <w:sz w:val="21"/>
          <w:szCs w:val="21"/>
        </w:rPr>
        <w:t xml:space="preserve"> dé</w:t>
      </w:r>
      <w:r w:rsidR="000672C4" w:rsidRPr="00055FC5">
        <w:rPr>
          <w:rFonts w:ascii="Century Gothic" w:eastAsia="Quattrocento Sans" w:hAnsi="Century Gothic" w:cs="Segoe UI"/>
          <w:sz w:val="21"/>
          <w:szCs w:val="21"/>
        </w:rPr>
        <w:t xml:space="preserve"> aplicación al principio de </w:t>
      </w:r>
      <w:r w:rsidRPr="00055FC5">
        <w:rPr>
          <w:rFonts w:ascii="Century Gothic" w:eastAsia="Quattrocento Sans" w:hAnsi="Century Gothic" w:cs="Segoe UI"/>
          <w:sz w:val="21"/>
          <w:szCs w:val="21"/>
        </w:rPr>
        <w:t>interés</w:t>
      </w:r>
      <w:r w:rsidR="000672C4" w:rsidRPr="00055FC5">
        <w:rPr>
          <w:rFonts w:ascii="Century Gothic" w:eastAsia="Quattrocento Sans" w:hAnsi="Century Gothic" w:cs="Segoe UI"/>
          <w:sz w:val="21"/>
          <w:szCs w:val="21"/>
        </w:rPr>
        <w:t xml:space="preserve"> superior del niño a fin de garantizar el respeto de todos sus derechos, constituyéndolo una consideración primordial y explicita en la legislación.</w:t>
      </w:r>
    </w:p>
    <w:p w14:paraId="2A2D840E" w14:textId="77777777" w:rsidR="00320C4B" w:rsidRDefault="00320C4B" w:rsidP="00C31434">
      <w:pPr>
        <w:spacing w:line="276" w:lineRule="auto"/>
        <w:jc w:val="both"/>
        <w:rPr>
          <w:rFonts w:ascii="Century Gothic" w:eastAsia="Quattrocento Sans" w:hAnsi="Century Gothic" w:cs="Segoe UI"/>
          <w:color w:val="000000"/>
          <w:sz w:val="21"/>
          <w:szCs w:val="21"/>
        </w:rPr>
      </w:pPr>
    </w:p>
    <w:p w14:paraId="5BBEBF79" w14:textId="50889CB5"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lastRenderedPageBreak/>
        <w:t xml:space="preserve">Ahora bien, el artículo 44 de </w:t>
      </w:r>
      <w:r w:rsidR="00677058">
        <w:rPr>
          <w:rFonts w:ascii="Century Gothic" w:eastAsia="Quattrocento Sans" w:hAnsi="Century Gothic" w:cs="Segoe UI"/>
          <w:sz w:val="21"/>
          <w:szCs w:val="21"/>
        </w:rPr>
        <w:t>la Constitución Política de 199,</w:t>
      </w:r>
      <w:r w:rsidR="00677058" w:rsidRPr="00677058">
        <w:t xml:space="preserve"> </w:t>
      </w:r>
      <w:r w:rsidR="00677058" w:rsidRPr="00677058">
        <w:rPr>
          <w:rFonts w:ascii="Century Gothic" w:eastAsia="Quattrocento Sans" w:hAnsi="Century Gothic" w:cs="Segoe UI"/>
          <w:sz w:val="21"/>
          <w:szCs w:val="21"/>
        </w:rPr>
        <w:t>establece los derechos fundamentales de los niños entre los cuales se encuentran la vida e integridad física, de la siguiente forma</w:t>
      </w:r>
      <w:r w:rsidR="00677058">
        <w:rPr>
          <w:rFonts w:ascii="Century Gothic" w:eastAsia="Quattrocento Sans" w:hAnsi="Century Gothic" w:cs="Segoe UI"/>
          <w:sz w:val="21"/>
          <w:szCs w:val="21"/>
        </w:rPr>
        <w:t xml:space="preserve">: </w:t>
      </w:r>
    </w:p>
    <w:p w14:paraId="08466171" w14:textId="77777777" w:rsidR="00822B88" w:rsidRPr="00196F70" w:rsidRDefault="00822B88" w:rsidP="00C31434">
      <w:pPr>
        <w:spacing w:line="276" w:lineRule="auto"/>
        <w:jc w:val="both"/>
        <w:rPr>
          <w:rFonts w:ascii="Century Gothic" w:eastAsia="Quattrocento Sans" w:hAnsi="Century Gothic" w:cs="Segoe UI"/>
          <w:sz w:val="21"/>
          <w:szCs w:val="21"/>
        </w:rPr>
      </w:pPr>
    </w:p>
    <w:p w14:paraId="3FC4659D" w14:textId="77777777" w:rsidR="00C31434" w:rsidRPr="001D76AA" w:rsidRDefault="00C31434" w:rsidP="004D47EC">
      <w:pPr>
        <w:spacing w:line="276" w:lineRule="auto"/>
        <w:ind w:left="720" w:right="616"/>
        <w:jc w:val="both"/>
        <w:rPr>
          <w:rFonts w:ascii="Century Gothic" w:eastAsia="Quattrocento Sans" w:hAnsi="Century Gothic" w:cs="Segoe UI"/>
          <w:i/>
          <w:sz w:val="18"/>
          <w:szCs w:val="18"/>
        </w:rPr>
      </w:pPr>
      <w:r w:rsidRPr="001D76AA">
        <w:rPr>
          <w:rFonts w:ascii="Century Gothic" w:eastAsia="Quattrocento Sans" w:hAnsi="Century Gothic" w:cs="Segoe UI"/>
          <w:i/>
          <w:sz w:val="18"/>
          <w:szCs w:val="18"/>
        </w:rPr>
        <w:t xml:space="preserve">“ARTÍCULO 44º.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w:t>
      </w:r>
      <w:r w:rsidRPr="00A27687">
        <w:rPr>
          <w:rFonts w:ascii="Century Gothic" w:eastAsia="Quattrocento Sans" w:hAnsi="Century Gothic" w:cs="Segoe UI"/>
          <w:b/>
          <w:i/>
          <w:sz w:val="18"/>
          <w:szCs w:val="18"/>
        </w:rPr>
        <w:t>Serán protegidos contra toda forma de abandono, violencia física o moral, secuestro, venta, abuso sexual, explotación laboral o económica y trabajos riesgosos.</w:t>
      </w:r>
      <w:r w:rsidRPr="001D76AA">
        <w:rPr>
          <w:rFonts w:ascii="Century Gothic" w:eastAsia="Quattrocento Sans" w:hAnsi="Century Gothic" w:cs="Segoe UI"/>
          <w:i/>
          <w:sz w:val="18"/>
          <w:szCs w:val="18"/>
        </w:rPr>
        <w:t xml:space="preserve"> Gozarán también de los demás derechos consagrados en la Constitución, en las leyes y en los tratados internacionales ratificados por Colombia.</w:t>
      </w:r>
    </w:p>
    <w:p w14:paraId="6C7B1E03" w14:textId="77777777" w:rsidR="00C31434" w:rsidRPr="001D76AA" w:rsidRDefault="00C31434" w:rsidP="004D47EC">
      <w:pPr>
        <w:spacing w:line="276" w:lineRule="auto"/>
        <w:ind w:left="720" w:right="616"/>
        <w:jc w:val="both"/>
        <w:rPr>
          <w:rFonts w:ascii="Century Gothic" w:eastAsia="Quattrocento Sans" w:hAnsi="Century Gothic" w:cs="Segoe UI"/>
          <w:i/>
          <w:sz w:val="18"/>
          <w:szCs w:val="18"/>
        </w:rPr>
      </w:pPr>
      <w:r w:rsidRPr="001D76AA">
        <w:rPr>
          <w:rFonts w:ascii="Century Gothic" w:eastAsia="Quattrocento Sans" w:hAnsi="Century Gothic" w:cs="Segoe UI"/>
          <w:i/>
          <w:sz w:val="18"/>
          <w:szCs w:val="18"/>
        </w:rPr>
        <w:t xml:space="preserve"> </w:t>
      </w:r>
    </w:p>
    <w:p w14:paraId="4A3B3B19" w14:textId="77777777" w:rsidR="00C31434" w:rsidRPr="001D76AA" w:rsidRDefault="00C31434" w:rsidP="004D47EC">
      <w:pPr>
        <w:spacing w:line="276" w:lineRule="auto"/>
        <w:ind w:left="720" w:right="616"/>
        <w:jc w:val="both"/>
        <w:rPr>
          <w:rFonts w:ascii="Century Gothic" w:eastAsia="Quattrocento Sans" w:hAnsi="Century Gothic" w:cs="Segoe UI"/>
          <w:i/>
          <w:sz w:val="18"/>
          <w:szCs w:val="18"/>
        </w:rPr>
      </w:pPr>
      <w:r w:rsidRPr="001D76AA">
        <w:rPr>
          <w:rFonts w:ascii="Century Gothic" w:eastAsia="Quattrocento Sans" w:hAnsi="Century Gothic" w:cs="Segoe UI"/>
          <w:i/>
          <w:sz w:val="18"/>
          <w:szCs w:val="18"/>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5D56F809" w14:textId="77777777" w:rsidR="00C31434" w:rsidRPr="001D76AA" w:rsidRDefault="00C31434" w:rsidP="004D47EC">
      <w:pPr>
        <w:spacing w:line="276" w:lineRule="auto"/>
        <w:ind w:left="720" w:right="616"/>
        <w:jc w:val="both"/>
        <w:rPr>
          <w:rFonts w:ascii="Century Gothic" w:eastAsia="Quattrocento Sans" w:hAnsi="Century Gothic" w:cs="Segoe UI"/>
          <w:i/>
          <w:sz w:val="18"/>
          <w:szCs w:val="18"/>
        </w:rPr>
      </w:pPr>
    </w:p>
    <w:p w14:paraId="6C7655D2" w14:textId="1E0ED9EC" w:rsidR="00C31434" w:rsidRDefault="00C31434" w:rsidP="004D47EC">
      <w:pPr>
        <w:spacing w:line="276" w:lineRule="auto"/>
        <w:ind w:left="720" w:right="616"/>
        <w:jc w:val="both"/>
        <w:rPr>
          <w:rFonts w:ascii="Century Gothic" w:eastAsia="Quattrocento Sans" w:hAnsi="Century Gothic" w:cs="Segoe UI"/>
          <w:i/>
          <w:sz w:val="18"/>
          <w:szCs w:val="18"/>
        </w:rPr>
      </w:pPr>
      <w:r w:rsidRPr="00A27687">
        <w:rPr>
          <w:rFonts w:ascii="Century Gothic" w:eastAsia="Quattrocento Sans" w:hAnsi="Century Gothic" w:cs="Segoe UI"/>
          <w:b/>
          <w:i/>
          <w:sz w:val="18"/>
          <w:szCs w:val="18"/>
        </w:rPr>
        <w:t>Los derechos de los niños prevalecen sobre los derechos de los demás</w:t>
      </w:r>
      <w:r w:rsidRPr="001D76AA">
        <w:rPr>
          <w:rFonts w:ascii="Century Gothic" w:eastAsia="Quattrocento Sans" w:hAnsi="Century Gothic" w:cs="Segoe UI"/>
          <w:i/>
          <w:sz w:val="18"/>
          <w:szCs w:val="18"/>
        </w:rPr>
        <w:t>.”</w:t>
      </w:r>
      <w:r w:rsidR="00A27687">
        <w:rPr>
          <w:rFonts w:ascii="Century Gothic" w:eastAsia="Quattrocento Sans" w:hAnsi="Century Gothic" w:cs="Segoe UI"/>
          <w:i/>
          <w:sz w:val="18"/>
          <w:szCs w:val="18"/>
        </w:rPr>
        <w:t xml:space="preserve"> </w:t>
      </w:r>
      <w:r w:rsidR="00A27687" w:rsidRPr="00A27687">
        <w:rPr>
          <w:rFonts w:ascii="Century Gothic" w:eastAsia="Quattrocento Sans" w:hAnsi="Century Gothic" w:cs="Segoe UI"/>
          <w:sz w:val="18"/>
          <w:szCs w:val="18"/>
        </w:rPr>
        <w:t>(Negrilla fuera del texto)</w:t>
      </w:r>
    </w:p>
    <w:p w14:paraId="12C7505A" w14:textId="77777777" w:rsidR="00C31434" w:rsidRDefault="00C31434" w:rsidP="00C31434">
      <w:pPr>
        <w:spacing w:line="276" w:lineRule="auto"/>
        <w:jc w:val="both"/>
        <w:rPr>
          <w:rFonts w:ascii="Century Gothic" w:eastAsia="Quattrocento Sans" w:hAnsi="Century Gothic" w:cs="Segoe UI"/>
          <w:i/>
          <w:sz w:val="18"/>
          <w:szCs w:val="18"/>
        </w:rPr>
      </w:pPr>
    </w:p>
    <w:p w14:paraId="0362584D" w14:textId="05BBF0C0" w:rsidR="00C31434" w:rsidRPr="00677058" w:rsidRDefault="00C31434" w:rsidP="00677058">
      <w:pPr>
        <w:spacing w:line="276" w:lineRule="auto"/>
        <w:jc w:val="both"/>
        <w:rPr>
          <w:rFonts w:ascii="Century Gothic" w:eastAsia="Quattrocento Sans" w:hAnsi="Century Gothic" w:cs="Segoe UI"/>
          <w:sz w:val="21"/>
          <w:szCs w:val="21"/>
        </w:rPr>
      </w:pPr>
      <w:r w:rsidRPr="001D76AA">
        <w:rPr>
          <w:rFonts w:ascii="Century Gothic" w:eastAsia="Quattrocento Sans" w:hAnsi="Century Gothic" w:cs="Segoe UI"/>
          <w:sz w:val="21"/>
          <w:szCs w:val="21"/>
        </w:rPr>
        <w:t>Como vemos, los derechos fundamentales de los niños, niñas y adolescentes gozan de una especial protección en el ámbito internacional y nacional dada la situación de indefensión, vulnerabilidad y debilidad de esta población y la necesidad de garantizar un desarrollo armónico e integral.</w:t>
      </w:r>
      <w:r w:rsidR="00677058" w:rsidRPr="00677058">
        <w:t xml:space="preserve"> </w:t>
      </w:r>
      <w:r w:rsidR="00677058" w:rsidRPr="00677058">
        <w:rPr>
          <w:rFonts w:ascii="Century Gothic" w:eastAsia="Quattrocento Sans" w:hAnsi="Century Gothic" w:cs="Segoe UI"/>
          <w:sz w:val="21"/>
          <w:szCs w:val="21"/>
        </w:rPr>
        <w:t>Cabe resaltar que, el artículo no solo indica los derechos fundamentales de los niños, sino que más allá de ello, establece la obligación de proteger a esta población de cualquier forma de “violencia física o moral, secuestro, venta, abuso sexual...”, lo cual fundamenta de manera objetiva el presente proyecto de ley, en pro de dar cumplimiento a la obligación constitucional del Estado.</w:t>
      </w:r>
    </w:p>
    <w:p w14:paraId="6EE24003" w14:textId="58400046" w:rsidR="00C31434" w:rsidRPr="00196F70" w:rsidRDefault="00C31434" w:rsidP="009404A0">
      <w:pPr>
        <w:jc w:val="both"/>
        <w:rPr>
          <w:rFonts w:ascii="Century Gothic" w:eastAsia="Quattrocento Sans" w:hAnsi="Century Gothic" w:cs="Segoe UI"/>
          <w:i/>
          <w:sz w:val="21"/>
          <w:szCs w:val="21"/>
        </w:rPr>
      </w:pPr>
    </w:p>
    <w:p w14:paraId="78BE9C36" w14:textId="03B4BE13"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 xml:space="preserve">Teniendo estas consideraciones presentes, el legislador puede adoptar un tratamiento diferencial para los delitos sexuales cometidos en contra de menores de edad, por su gravedad y por la prevalencia de </w:t>
      </w:r>
      <w:r>
        <w:rPr>
          <w:rFonts w:ascii="Century Gothic" w:eastAsia="Quattrocento Sans" w:hAnsi="Century Gothic" w:cs="Segoe UI"/>
          <w:sz w:val="21"/>
          <w:szCs w:val="21"/>
        </w:rPr>
        <w:t>sus</w:t>
      </w:r>
      <w:r w:rsidRPr="00196F70">
        <w:rPr>
          <w:rFonts w:ascii="Century Gothic" w:eastAsia="Quattrocento Sans" w:hAnsi="Century Gothic" w:cs="Segoe UI"/>
          <w:sz w:val="21"/>
          <w:szCs w:val="21"/>
        </w:rPr>
        <w:t xml:space="preserve"> derechos por encima de los demás, declarando la imprescriptibilidad de la acción penal en estos casos, tal y como sucede en los casos de genocidio, crímenes de guerra y de lesa humanidad.</w:t>
      </w:r>
    </w:p>
    <w:p w14:paraId="2D3BC9D2" w14:textId="77777777" w:rsidR="00C31434" w:rsidRPr="00196F70" w:rsidRDefault="00C31434" w:rsidP="00C31434">
      <w:pPr>
        <w:spacing w:line="276" w:lineRule="auto"/>
        <w:jc w:val="both"/>
        <w:rPr>
          <w:rFonts w:ascii="Century Gothic" w:eastAsia="Quattrocento Sans" w:hAnsi="Century Gothic" w:cs="Segoe UI"/>
          <w:b/>
          <w:sz w:val="21"/>
          <w:szCs w:val="21"/>
        </w:rPr>
      </w:pPr>
    </w:p>
    <w:p w14:paraId="69BA44EB" w14:textId="0C32AE25" w:rsidR="00C31434" w:rsidRPr="006576F4" w:rsidRDefault="00C31434" w:rsidP="00C31434">
      <w:pPr>
        <w:numPr>
          <w:ilvl w:val="0"/>
          <w:numId w:val="37"/>
        </w:numPr>
        <w:spacing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b/>
          <w:sz w:val="21"/>
          <w:szCs w:val="21"/>
        </w:rPr>
        <w:t>NECESIDAD DE LA</w:t>
      </w:r>
      <w:r w:rsidR="002F6701">
        <w:rPr>
          <w:rFonts w:ascii="Century Gothic" w:eastAsia="Quattrocento Sans" w:hAnsi="Century Gothic" w:cs="Segoe UI"/>
          <w:b/>
          <w:sz w:val="21"/>
          <w:szCs w:val="21"/>
        </w:rPr>
        <w:t>S</w:t>
      </w:r>
      <w:r w:rsidRPr="00196F70">
        <w:rPr>
          <w:rFonts w:ascii="Century Gothic" w:eastAsia="Quattrocento Sans" w:hAnsi="Century Gothic" w:cs="Segoe UI"/>
          <w:b/>
          <w:sz w:val="21"/>
          <w:szCs w:val="21"/>
        </w:rPr>
        <w:t xml:space="preserve"> INICIATIVA</w:t>
      </w:r>
      <w:r w:rsidR="002F6701">
        <w:rPr>
          <w:rFonts w:ascii="Century Gothic" w:eastAsia="Quattrocento Sans" w:hAnsi="Century Gothic" w:cs="Segoe UI"/>
          <w:b/>
          <w:sz w:val="21"/>
          <w:szCs w:val="21"/>
        </w:rPr>
        <w:t>S</w:t>
      </w:r>
    </w:p>
    <w:p w14:paraId="29F2DE17" w14:textId="77777777" w:rsidR="00C31434" w:rsidRPr="00196F70" w:rsidRDefault="00C31434" w:rsidP="00231373">
      <w:pPr>
        <w:ind w:left="1080"/>
        <w:jc w:val="both"/>
        <w:rPr>
          <w:rFonts w:ascii="Century Gothic" w:eastAsia="Quattrocento Sans" w:hAnsi="Century Gothic" w:cs="Segoe UI"/>
          <w:sz w:val="21"/>
          <w:szCs w:val="21"/>
        </w:rPr>
      </w:pPr>
    </w:p>
    <w:p w14:paraId="35A595F9" w14:textId="1BE6437C"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De acuerdo co</w:t>
      </w:r>
      <w:r w:rsidR="002F6701">
        <w:rPr>
          <w:rFonts w:ascii="Century Gothic" w:eastAsia="Quattrocento Sans" w:hAnsi="Century Gothic" w:cs="Segoe UI"/>
          <w:sz w:val="21"/>
          <w:szCs w:val="21"/>
        </w:rPr>
        <w:t xml:space="preserve">n la exposición de motivos </w:t>
      </w:r>
      <w:r w:rsidR="00B07C98">
        <w:rPr>
          <w:rFonts w:ascii="Century Gothic" w:eastAsia="Quattrocento Sans" w:hAnsi="Century Gothic" w:cs="Segoe UI"/>
          <w:sz w:val="21"/>
          <w:szCs w:val="21"/>
        </w:rPr>
        <w:t>de los</w:t>
      </w:r>
      <w:r w:rsidR="002F6701">
        <w:rPr>
          <w:rFonts w:ascii="Century Gothic" w:eastAsia="Quattrocento Sans" w:hAnsi="Century Gothic" w:cs="Segoe UI"/>
          <w:sz w:val="21"/>
          <w:szCs w:val="21"/>
        </w:rPr>
        <w:t xml:space="preserve"> Proyectos de Ley</w:t>
      </w:r>
      <w:r w:rsidR="00B07C98">
        <w:rPr>
          <w:rFonts w:ascii="Century Gothic" w:eastAsia="Quattrocento Sans" w:hAnsi="Century Gothic" w:cs="Segoe UI"/>
          <w:sz w:val="21"/>
          <w:szCs w:val="21"/>
        </w:rPr>
        <w:t xml:space="preserve"> acumulados</w:t>
      </w:r>
      <w:r w:rsidRPr="00196F70">
        <w:rPr>
          <w:rFonts w:ascii="Century Gothic" w:eastAsia="Quattrocento Sans" w:hAnsi="Century Gothic" w:cs="Segoe UI"/>
          <w:sz w:val="21"/>
          <w:szCs w:val="21"/>
        </w:rPr>
        <w:t xml:space="preserve">, se busca que los delitos sexuales cometidos en contra de niños, niñas y adolescentes puedan ser investigados, juzgados y </w:t>
      </w:r>
      <w:r>
        <w:rPr>
          <w:rFonts w:ascii="Century Gothic" w:eastAsia="Quattrocento Sans" w:hAnsi="Century Gothic" w:cs="Segoe UI"/>
          <w:sz w:val="21"/>
          <w:szCs w:val="21"/>
        </w:rPr>
        <w:t>sancionados en todo momento, los autores</w:t>
      </w:r>
      <w:r w:rsidR="002F6701">
        <w:rPr>
          <w:rFonts w:ascii="Century Gothic" w:eastAsia="Quattrocento Sans" w:hAnsi="Century Gothic" w:cs="Segoe UI"/>
          <w:sz w:val="21"/>
          <w:szCs w:val="21"/>
        </w:rPr>
        <w:t xml:space="preserve"> de ambas</w:t>
      </w:r>
      <w:r w:rsidRPr="00196F70">
        <w:rPr>
          <w:rFonts w:ascii="Century Gothic" w:eastAsia="Quattrocento Sans" w:hAnsi="Century Gothic" w:cs="Segoe UI"/>
          <w:sz w:val="21"/>
          <w:szCs w:val="21"/>
        </w:rPr>
        <w:t xml:space="preserve"> iniciativa</w:t>
      </w:r>
      <w:r w:rsidR="002F6701">
        <w:rPr>
          <w:rFonts w:ascii="Century Gothic" w:eastAsia="Quattrocento Sans" w:hAnsi="Century Gothic" w:cs="Segoe UI"/>
          <w:sz w:val="21"/>
          <w:szCs w:val="21"/>
        </w:rPr>
        <w:t>s</w:t>
      </w:r>
      <w:r w:rsidRPr="00196F70">
        <w:rPr>
          <w:rFonts w:ascii="Century Gothic" w:eastAsia="Quattrocento Sans" w:hAnsi="Century Gothic" w:cs="Segoe UI"/>
          <w:sz w:val="21"/>
          <w:szCs w:val="21"/>
        </w:rPr>
        <w:t xml:space="preserve"> exponen la problemática de la siguiente manera: </w:t>
      </w:r>
    </w:p>
    <w:p w14:paraId="7F5B487C" w14:textId="77777777" w:rsidR="003F4537" w:rsidRPr="00196F70" w:rsidRDefault="003F4537" w:rsidP="00C31434">
      <w:pPr>
        <w:spacing w:line="276" w:lineRule="auto"/>
        <w:jc w:val="both"/>
        <w:rPr>
          <w:rFonts w:ascii="Century Gothic" w:eastAsia="Quattrocento Sans" w:hAnsi="Century Gothic" w:cs="Segoe UI"/>
          <w:sz w:val="21"/>
          <w:szCs w:val="21"/>
        </w:rPr>
      </w:pPr>
    </w:p>
    <w:p w14:paraId="2C7748FA"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Los niños, las niñas y los adolescentes s</w:t>
      </w:r>
      <w:r>
        <w:rPr>
          <w:rFonts w:ascii="Century Gothic" w:eastAsia="Quattrocento Sans" w:hAnsi="Century Gothic" w:cs="Segoe UI"/>
          <w:sz w:val="21"/>
          <w:szCs w:val="21"/>
        </w:rPr>
        <w:t>on sujetos de derecho con un ras</w:t>
      </w:r>
      <w:r w:rsidRPr="00196F70">
        <w:rPr>
          <w:rFonts w:ascii="Century Gothic" w:eastAsia="Quattrocento Sans" w:hAnsi="Century Gothic" w:cs="Segoe UI"/>
          <w:sz w:val="21"/>
          <w:szCs w:val="21"/>
        </w:rPr>
        <w:t xml:space="preserve">go constitucional muy importante reflejado en el artículo 44 de la Constitución Política de Colombia; se les debe </w:t>
      </w:r>
      <w:r>
        <w:rPr>
          <w:rFonts w:ascii="Century Gothic" w:eastAsia="Quattrocento Sans" w:hAnsi="Century Gothic" w:cs="Segoe UI"/>
          <w:sz w:val="21"/>
          <w:szCs w:val="21"/>
        </w:rPr>
        <w:t>salvaguardar,</w:t>
      </w:r>
      <w:r w:rsidRPr="00196F70">
        <w:rPr>
          <w:rFonts w:ascii="Century Gothic" w:eastAsia="Quattrocento Sans" w:hAnsi="Century Gothic" w:cs="Segoe UI"/>
          <w:sz w:val="21"/>
          <w:szCs w:val="21"/>
        </w:rPr>
        <w:t xml:space="preserve"> sobre todo, </w:t>
      </w:r>
      <w:r>
        <w:rPr>
          <w:rFonts w:ascii="Century Gothic" w:eastAsia="Quattrocento Sans" w:hAnsi="Century Gothic" w:cs="Segoe UI"/>
          <w:sz w:val="21"/>
          <w:szCs w:val="21"/>
        </w:rPr>
        <w:t>el</w:t>
      </w:r>
      <w:r w:rsidRPr="00196F70">
        <w:rPr>
          <w:rFonts w:ascii="Century Gothic" w:eastAsia="Quattrocento Sans" w:hAnsi="Century Gothic" w:cs="Segoe UI"/>
          <w:sz w:val="21"/>
          <w:szCs w:val="21"/>
        </w:rPr>
        <w:t xml:space="preserve"> derecho fundamental </w:t>
      </w:r>
      <w:r>
        <w:rPr>
          <w:rFonts w:ascii="Century Gothic" w:eastAsia="Quattrocento Sans" w:hAnsi="Century Gothic" w:cs="Segoe UI"/>
          <w:sz w:val="21"/>
          <w:szCs w:val="21"/>
        </w:rPr>
        <w:t>a ser protegidos ante cualquier</w:t>
      </w:r>
      <w:r w:rsidRPr="00196F70">
        <w:rPr>
          <w:rFonts w:ascii="Century Gothic" w:eastAsia="Quattrocento Sans" w:hAnsi="Century Gothic" w:cs="Segoe UI"/>
          <w:sz w:val="21"/>
          <w:szCs w:val="21"/>
        </w:rPr>
        <w:t xml:space="preserve"> forma de violencia (Convención sobre los Derechos del Niño. Adoptada y abierta a la </w:t>
      </w:r>
      <w:r w:rsidRPr="00196F70">
        <w:rPr>
          <w:rFonts w:ascii="Century Gothic" w:eastAsia="Quattrocento Sans" w:hAnsi="Century Gothic" w:cs="Segoe UI"/>
          <w:sz w:val="21"/>
          <w:szCs w:val="21"/>
        </w:rPr>
        <w:lastRenderedPageBreak/>
        <w:t>firma y ratificación por la Asamblea General en su resolución 44/25, de 20 de noviembre de 1989, Entrada en vigor: 2 de septiembre de 1990, de conformidad con el artículo 49).</w:t>
      </w:r>
    </w:p>
    <w:p w14:paraId="7737584A" w14:textId="77777777" w:rsidR="00C31434" w:rsidRPr="00196F70" w:rsidRDefault="00C31434" w:rsidP="00C31434">
      <w:pPr>
        <w:jc w:val="both"/>
        <w:rPr>
          <w:rFonts w:ascii="Century Gothic" w:eastAsia="Quattrocento Sans" w:hAnsi="Century Gothic" w:cs="Segoe UI"/>
          <w:sz w:val="21"/>
          <w:szCs w:val="21"/>
        </w:rPr>
      </w:pPr>
    </w:p>
    <w:p w14:paraId="2142F4F0"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Según la Organización Mundial de la Salud, la violencia sexual tiene un impacto en la salud física y mental</w:t>
      </w:r>
      <w:r w:rsidRPr="00196F70">
        <w:rPr>
          <w:rStyle w:val="Refdenotaalpie"/>
          <w:rFonts w:ascii="Century Gothic" w:eastAsia="Quattrocento Sans" w:hAnsi="Century Gothic" w:cs="Segoe UI"/>
          <w:sz w:val="21"/>
          <w:szCs w:val="21"/>
        </w:rPr>
        <w:footnoteReference w:id="4"/>
      </w:r>
      <w:r w:rsidRPr="00196F70">
        <w:rPr>
          <w:rFonts w:ascii="Century Gothic" w:eastAsia="Quattrocento Sans" w:hAnsi="Century Gothic" w:cs="Segoe UI"/>
          <w:sz w:val="21"/>
          <w:szCs w:val="21"/>
        </w:rPr>
        <w:t>. La literatura especializada, consensuadamente, concluye que la mayoría de las personas que experimentan abuso sexual en la infancia lo pueden exteriorizar hasta la edad adulta (McElvaney, 2015)</w:t>
      </w:r>
      <w:r w:rsidRPr="00196F70">
        <w:rPr>
          <w:rFonts w:ascii="Century Gothic" w:eastAsia="Quattrocento Sans" w:hAnsi="Century Gothic" w:cs="Segoe UI"/>
          <w:sz w:val="21"/>
          <w:szCs w:val="21"/>
          <w:vertAlign w:val="superscript"/>
        </w:rPr>
        <w:t xml:space="preserve"> </w:t>
      </w:r>
      <w:r w:rsidRPr="00196F70">
        <w:rPr>
          <w:rStyle w:val="Refdenotaalpie"/>
          <w:rFonts w:ascii="Century Gothic" w:eastAsia="Quattrocento Sans" w:hAnsi="Century Gothic" w:cs="Segoe UI"/>
          <w:sz w:val="21"/>
          <w:szCs w:val="21"/>
        </w:rPr>
        <w:footnoteReference w:id="5"/>
      </w:r>
      <w:r w:rsidRPr="00196F70">
        <w:rPr>
          <w:rFonts w:ascii="Century Gothic" w:eastAsia="Quattrocento Sans" w:hAnsi="Century Gothic" w:cs="Segoe UI"/>
          <w:sz w:val="21"/>
          <w:szCs w:val="21"/>
        </w:rPr>
        <w:t>.</w:t>
      </w:r>
    </w:p>
    <w:p w14:paraId="20BB5DF3" w14:textId="77777777" w:rsidR="00C31434" w:rsidRPr="00196F70" w:rsidRDefault="00C31434" w:rsidP="00C31434">
      <w:pPr>
        <w:jc w:val="both"/>
        <w:rPr>
          <w:rFonts w:ascii="Century Gothic" w:eastAsia="Quattrocento Sans" w:hAnsi="Century Gothic" w:cs="Segoe UI"/>
          <w:sz w:val="21"/>
          <w:szCs w:val="21"/>
        </w:rPr>
      </w:pPr>
    </w:p>
    <w:p w14:paraId="4F10070C" w14:textId="20C11543" w:rsidR="00C31434" w:rsidRPr="00285F16" w:rsidRDefault="00B974A5" w:rsidP="00285F16">
      <w:pPr>
        <w:spacing w:line="276" w:lineRule="auto"/>
        <w:jc w:val="both"/>
        <w:rPr>
          <w:rFonts w:ascii="Century Gothic" w:eastAsia="Quattrocento Sans" w:hAnsi="Century Gothic" w:cs="Segoe UI"/>
          <w:sz w:val="21"/>
          <w:szCs w:val="21"/>
        </w:rPr>
      </w:pPr>
      <w:r w:rsidRPr="00285F16">
        <w:rPr>
          <w:rFonts w:ascii="Century Gothic" w:eastAsia="Quattrocento Sans" w:hAnsi="Century Gothic" w:cs="Segoe UI"/>
          <w:sz w:val="21"/>
          <w:szCs w:val="21"/>
        </w:rPr>
        <w:t xml:space="preserve">El estudio de Steven M. Kogan </w:t>
      </w:r>
      <w:r w:rsidR="00C31434" w:rsidRPr="00285F16">
        <w:rPr>
          <w:rFonts w:ascii="Century Gothic" w:eastAsia="Quattrocento Sans" w:hAnsi="Century Gothic" w:cs="Segoe UI"/>
          <w:sz w:val="21"/>
          <w:szCs w:val="21"/>
        </w:rPr>
        <w:t>con</w:t>
      </w:r>
      <w:r w:rsidR="003E0499" w:rsidRPr="00285F16">
        <w:rPr>
          <w:rFonts w:ascii="Century Gothic" w:eastAsia="Quattrocento Sans" w:hAnsi="Century Gothic" w:cs="Segoe UI"/>
          <w:sz w:val="21"/>
          <w:szCs w:val="21"/>
        </w:rPr>
        <w:t>cluye qu</w:t>
      </w:r>
      <w:r w:rsidR="00285F16" w:rsidRPr="00285F16">
        <w:rPr>
          <w:rFonts w:ascii="Century Gothic" w:eastAsia="Quattrocento Sans" w:hAnsi="Century Gothic" w:cs="Segoe UI"/>
          <w:sz w:val="21"/>
          <w:szCs w:val="21"/>
        </w:rPr>
        <w:t>e existen variables que influyen en que la víctima entregue su versión de lo sucedido y lo exteriorice; estas son:</w:t>
      </w:r>
      <w:r w:rsidR="00C31434" w:rsidRPr="00285F16">
        <w:rPr>
          <w:rFonts w:ascii="Century Gothic" w:eastAsia="Quattrocento Sans" w:hAnsi="Century Gothic" w:cs="Segoe UI"/>
          <w:sz w:val="21"/>
          <w:szCs w:val="21"/>
        </w:rPr>
        <w:t xml:space="preserve"> “La edad de aparición del abuso, la existencia de penetración, el miedo por la propia vida en el momento del abuso, la existencia de lesiones físicas, la estructura familiar y la diferencia de edad entre la víctima y el agresor” (Kogan 2004)</w:t>
      </w:r>
      <w:r w:rsidR="00C31434" w:rsidRPr="00285F16">
        <w:rPr>
          <w:rStyle w:val="Refdenotaalpie"/>
          <w:rFonts w:ascii="Century Gothic" w:eastAsia="Quattrocento Sans" w:hAnsi="Century Gothic" w:cs="Segoe UI"/>
          <w:sz w:val="21"/>
          <w:szCs w:val="21"/>
        </w:rPr>
        <w:footnoteReference w:id="6"/>
      </w:r>
      <w:r w:rsidR="00C31434" w:rsidRPr="00285F16">
        <w:rPr>
          <w:rFonts w:ascii="Century Gothic" w:eastAsia="Quattrocento Sans" w:hAnsi="Century Gothic" w:cs="Segoe UI"/>
          <w:sz w:val="21"/>
          <w:szCs w:val="21"/>
        </w:rPr>
        <w:t>.</w:t>
      </w:r>
    </w:p>
    <w:p w14:paraId="34EB340C" w14:textId="77777777" w:rsidR="00C31434" w:rsidRPr="00196F70" w:rsidRDefault="00C31434" w:rsidP="00C31434">
      <w:pPr>
        <w:jc w:val="both"/>
        <w:rPr>
          <w:rFonts w:ascii="Century Gothic" w:eastAsia="Quattrocento Sans" w:hAnsi="Century Gothic" w:cs="Segoe UI"/>
          <w:sz w:val="21"/>
          <w:szCs w:val="21"/>
        </w:rPr>
      </w:pPr>
    </w:p>
    <w:p w14:paraId="3E387E49" w14:textId="61B4F572" w:rsidR="00C31434" w:rsidRDefault="00C31434" w:rsidP="00C31434">
      <w:pPr>
        <w:spacing w:line="276" w:lineRule="auto"/>
        <w:jc w:val="both"/>
        <w:rPr>
          <w:rFonts w:ascii="Century Gothic" w:eastAsia="Quattrocento Sans" w:hAnsi="Century Gothic" w:cs="Segoe UI"/>
          <w:sz w:val="21"/>
          <w:szCs w:val="21"/>
        </w:rPr>
      </w:pPr>
      <w:r w:rsidRPr="00873A43">
        <w:rPr>
          <w:rFonts w:ascii="Century Gothic" w:eastAsia="Quattrocento Sans" w:hAnsi="Century Gothic" w:cs="Segoe UI"/>
          <w:sz w:val="21"/>
          <w:szCs w:val="21"/>
        </w:rPr>
        <w:t>Con la Encuesta Nacional de Adolescentes en los Estados Unidos</w:t>
      </w:r>
      <w:r w:rsidR="0011387C">
        <w:rPr>
          <w:rFonts w:ascii="Century Gothic" w:eastAsia="Quattrocento Sans" w:hAnsi="Century Gothic" w:cs="Segoe UI"/>
          <w:sz w:val="21"/>
          <w:szCs w:val="21"/>
        </w:rPr>
        <w:t>,</w:t>
      </w:r>
      <w:r w:rsidR="00873A43" w:rsidRPr="00873A43">
        <w:rPr>
          <w:rFonts w:ascii="Century Gothic" w:eastAsia="Quattrocento Sans" w:hAnsi="Century Gothic" w:cs="Segoe UI"/>
          <w:sz w:val="21"/>
          <w:szCs w:val="21"/>
        </w:rPr>
        <w:t xml:space="preserve"> </w:t>
      </w:r>
      <w:r w:rsidR="00873A43">
        <w:rPr>
          <w:rFonts w:ascii="Century Gothic" w:eastAsia="Quattrocento Sans" w:hAnsi="Century Gothic" w:cs="Segoe UI"/>
          <w:sz w:val="21"/>
          <w:szCs w:val="21"/>
        </w:rPr>
        <w:t>que está revelada en la revista “Child Abuse Review en Mayo 2015”</w:t>
      </w:r>
      <w:r w:rsidRPr="00873A43">
        <w:rPr>
          <w:rFonts w:ascii="Century Gothic" w:eastAsia="Quattrocento Sans" w:hAnsi="Century Gothic" w:cs="Segoe UI"/>
          <w:sz w:val="21"/>
          <w:szCs w:val="21"/>
        </w:rPr>
        <w:t>, se realizó un estudio representativo a nivel nacional, los resultados mostraron que las personas que vivieron un abuso sexual denunciaron de manera inmediata (dentro del primer mes) en un 43%, con una divulgación tardía el 31% y el 26% nunca lo divulgaron antes de realizar la encuesta</w:t>
      </w:r>
      <w:r w:rsidR="008A5F88" w:rsidRPr="00873A43">
        <w:rPr>
          <w:rStyle w:val="Refdenotaalpie"/>
          <w:rFonts w:ascii="Century Gothic" w:eastAsia="Quattrocento Sans" w:hAnsi="Century Gothic" w:cs="Segoe UI"/>
          <w:sz w:val="21"/>
          <w:szCs w:val="21"/>
        </w:rPr>
        <w:footnoteReference w:id="7"/>
      </w:r>
      <w:r w:rsidRPr="00873A43">
        <w:rPr>
          <w:rFonts w:ascii="Century Gothic" w:eastAsia="Quattrocento Sans" w:hAnsi="Century Gothic" w:cs="Segoe UI"/>
          <w:sz w:val="21"/>
          <w:szCs w:val="21"/>
        </w:rPr>
        <w:t>.</w:t>
      </w:r>
    </w:p>
    <w:p w14:paraId="18518CC4" w14:textId="77777777" w:rsidR="00C31434" w:rsidRPr="00196F70" w:rsidRDefault="00C31434" w:rsidP="00C31434">
      <w:pPr>
        <w:jc w:val="both"/>
        <w:rPr>
          <w:rFonts w:ascii="Century Gothic" w:eastAsia="Quattrocento Sans" w:hAnsi="Century Gothic" w:cs="Segoe UI"/>
          <w:sz w:val="21"/>
          <w:szCs w:val="21"/>
        </w:rPr>
      </w:pPr>
    </w:p>
    <w:p w14:paraId="0B91F14E"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La investigación ha encontrado que los retrasos en la divulgación en los abusos sexuales se dan porque las personas son maltratadas dentro de la familia (Sjoberg y Lindblad, 2002; Goodman-Brown et al., 2003; Kogan, 2004; Hershkowitz et al., 2005). Y concluyen que los niños que divulgan más rápidamente pueden estar sobrerrepresentados en muestras legales (McElvaney, 2015).</w:t>
      </w:r>
    </w:p>
    <w:p w14:paraId="78E2F65A" w14:textId="77777777" w:rsidR="00C31434" w:rsidRPr="00196F70" w:rsidRDefault="00C31434" w:rsidP="00C31434">
      <w:pPr>
        <w:jc w:val="both"/>
        <w:rPr>
          <w:rFonts w:ascii="Century Gothic" w:eastAsia="Quattrocento Sans" w:hAnsi="Century Gothic" w:cs="Segoe UI"/>
          <w:sz w:val="21"/>
          <w:szCs w:val="21"/>
        </w:rPr>
      </w:pPr>
    </w:p>
    <w:p w14:paraId="3611E3AA" w14:textId="77777777" w:rsidR="00C31434" w:rsidRDefault="00C31434" w:rsidP="00C31434">
      <w:pPr>
        <w:spacing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En Suecia, Priebe y Svedin (2008) realizaron una encuesta nacional de 4.339 adolescentes, de los cuales 1.962 reportaron alguna forma de abuso sexual (65% de las niñas y 23% de niños). De aquellos que habían revelado y respondido preguntas sobre divulgación (n = 1493), el 59,5 por ciento no había dicho a nadie de su experiencia previa a la encuesta. De los que divulgaron, el 80.5 por ciento mencionó a un "amigo de mi edad" como la única persona a la que le habían contado. En este estudio, solo el 6,8% había informado de sus experiencias a las autoridades sociales (McElvaney, 2015).</w:t>
      </w:r>
    </w:p>
    <w:p w14:paraId="6757CC18" w14:textId="77777777" w:rsidR="00C31434" w:rsidRPr="00196F70" w:rsidRDefault="00C31434" w:rsidP="00C31434">
      <w:pPr>
        <w:jc w:val="both"/>
        <w:rPr>
          <w:rFonts w:ascii="Century Gothic" w:eastAsia="Quattrocento Sans" w:hAnsi="Century Gothic" w:cs="Segoe UI"/>
          <w:sz w:val="21"/>
          <w:szCs w:val="21"/>
        </w:rPr>
      </w:pPr>
    </w:p>
    <w:p w14:paraId="2E3D9EAB" w14:textId="7EF2E712" w:rsidR="00C31434" w:rsidRDefault="00C31434" w:rsidP="00C31434">
      <w:pPr>
        <w:spacing w:line="276" w:lineRule="auto"/>
        <w:jc w:val="both"/>
        <w:rPr>
          <w:rFonts w:ascii="Century Gothic" w:eastAsia="Quattrocento Sans" w:hAnsi="Century Gothic" w:cs="Segoe UI"/>
          <w:sz w:val="21"/>
          <w:szCs w:val="21"/>
        </w:rPr>
      </w:pPr>
      <w:r w:rsidRPr="00873A43">
        <w:rPr>
          <w:rFonts w:ascii="Century Gothic" w:eastAsia="Quattrocento Sans" w:hAnsi="Century Gothic" w:cs="Segoe UI"/>
          <w:sz w:val="21"/>
          <w:szCs w:val="21"/>
        </w:rPr>
        <w:t xml:space="preserve">En Colombia se conoce que existieron, desde 2015 hasta 2018, 67.092 casos de violencia sexual en niños, niñas y adolescentes.  El 49% </w:t>
      </w:r>
      <w:r w:rsidR="00B537E9" w:rsidRPr="00873A43">
        <w:rPr>
          <w:rFonts w:ascii="Century Gothic" w:eastAsia="Quattrocento Sans" w:hAnsi="Century Gothic" w:cs="Segoe UI"/>
          <w:sz w:val="21"/>
          <w:szCs w:val="21"/>
        </w:rPr>
        <w:t>ocur</w:t>
      </w:r>
      <w:r w:rsidR="00B537E9">
        <w:rPr>
          <w:rFonts w:ascii="Century Gothic" w:eastAsia="Quattrocento Sans" w:hAnsi="Century Gothic" w:cs="Segoe UI"/>
          <w:sz w:val="21"/>
          <w:szCs w:val="21"/>
        </w:rPr>
        <w:t>rieron</w:t>
      </w:r>
      <w:r w:rsidRPr="00873A43">
        <w:rPr>
          <w:rFonts w:ascii="Century Gothic" w:eastAsia="Quattrocento Sans" w:hAnsi="Century Gothic" w:cs="Segoe UI"/>
          <w:sz w:val="21"/>
          <w:szCs w:val="21"/>
        </w:rPr>
        <w:t xml:space="preserve"> en menores de 10 a 14 años, el 22% entre los 5 a los 9 años, el 14% </w:t>
      </w:r>
      <w:r w:rsidR="00873A43" w:rsidRPr="00873A43">
        <w:rPr>
          <w:rFonts w:ascii="Century Gothic" w:eastAsia="Quattrocento Sans" w:hAnsi="Century Gothic" w:cs="Segoe UI"/>
          <w:sz w:val="21"/>
          <w:szCs w:val="21"/>
        </w:rPr>
        <w:t xml:space="preserve">entre los 0 a 4 años e igualmente el 14% entre el rango </w:t>
      </w:r>
      <w:r w:rsidRPr="00873A43">
        <w:rPr>
          <w:rFonts w:ascii="Century Gothic" w:eastAsia="Quattrocento Sans" w:hAnsi="Century Gothic" w:cs="Segoe UI"/>
          <w:sz w:val="21"/>
          <w:szCs w:val="21"/>
        </w:rPr>
        <w:lastRenderedPageBreak/>
        <w:t xml:space="preserve">de 15 a 18 años. El 86% de los eventos se realizaron en niñas y el 14% </w:t>
      </w:r>
      <w:r w:rsidR="0076698E">
        <w:rPr>
          <w:rFonts w:ascii="Century Gothic" w:eastAsia="Quattrocento Sans" w:hAnsi="Century Gothic" w:cs="Segoe UI"/>
          <w:sz w:val="21"/>
          <w:szCs w:val="21"/>
        </w:rPr>
        <w:t>en niños</w:t>
      </w:r>
      <w:r w:rsidRPr="00873A43">
        <w:rPr>
          <w:rFonts w:ascii="Century Gothic" w:eastAsia="Quattrocento Sans" w:hAnsi="Century Gothic" w:cs="Segoe UI"/>
          <w:sz w:val="21"/>
          <w:szCs w:val="21"/>
        </w:rPr>
        <w:t xml:space="preserve"> con un total de 57.794 y 9.298 respectivamen</w:t>
      </w:r>
      <w:r w:rsidR="0076698E">
        <w:rPr>
          <w:rFonts w:ascii="Century Gothic" w:eastAsia="Quattrocento Sans" w:hAnsi="Century Gothic" w:cs="Segoe UI"/>
          <w:sz w:val="21"/>
          <w:szCs w:val="21"/>
        </w:rPr>
        <w:t>te:</w:t>
      </w:r>
      <w:r w:rsidRPr="00196F70">
        <w:rPr>
          <w:rFonts w:ascii="Century Gothic" w:eastAsia="Quattrocento Sans" w:hAnsi="Century Gothic" w:cs="Segoe UI"/>
          <w:sz w:val="21"/>
          <w:szCs w:val="21"/>
        </w:rPr>
        <w:t xml:space="preserve">  </w:t>
      </w:r>
    </w:p>
    <w:p w14:paraId="6BB7A0CB" w14:textId="77777777" w:rsidR="00B07C98" w:rsidRDefault="00B07C98" w:rsidP="00C31434">
      <w:pPr>
        <w:spacing w:line="276" w:lineRule="auto"/>
        <w:jc w:val="both"/>
        <w:rPr>
          <w:rFonts w:ascii="Century Gothic" w:eastAsia="Quattrocento Sans" w:hAnsi="Century Gothic" w:cs="Segoe UI"/>
          <w:sz w:val="21"/>
          <w:szCs w:val="21"/>
        </w:rPr>
      </w:pPr>
    </w:p>
    <w:p w14:paraId="77604FDD" w14:textId="77777777" w:rsidR="0076698E" w:rsidRPr="005028A8" w:rsidRDefault="0076698E" w:rsidP="0076698E">
      <w:pPr>
        <w:spacing w:line="276" w:lineRule="auto"/>
        <w:jc w:val="center"/>
        <w:rPr>
          <w:rFonts w:ascii="Century Gothic" w:eastAsia="Quattrocento Sans" w:hAnsi="Century Gothic" w:cs="Segoe UI"/>
          <w:b/>
          <w:i/>
          <w:sz w:val="18"/>
          <w:szCs w:val="20"/>
        </w:rPr>
      </w:pPr>
      <w:r w:rsidRPr="005028A8">
        <w:rPr>
          <w:rFonts w:ascii="Century Gothic" w:eastAsia="Quattrocento Sans" w:hAnsi="Century Gothic" w:cs="Segoe UI"/>
          <w:b/>
          <w:i/>
          <w:sz w:val="18"/>
          <w:szCs w:val="20"/>
        </w:rPr>
        <w:t>Informe Cumplimiento Ley 1146 de 2007 - ICBF 2015-2018</w:t>
      </w:r>
    </w:p>
    <w:p w14:paraId="7EA08726" w14:textId="6F6DC34C" w:rsidR="00B07C98" w:rsidRPr="005028A8" w:rsidRDefault="0076698E" w:rsidP="00B07C98">
      <w:pPr>
        <w:spacing w:line="276" w:lineRule="auto"/>
        <w:jc w:val="center"/>
        <w:rPr>
          <w:rFonts w:ascii="Century Gothic" w:eastAsia="Quattrocento Sans" w:hAnsi="Century Gothic" w:cs="Segoe UI"/>
          <w:b/>
          <w:i/>
          <w:sz w:val="18"/>
          <w:szCs w:val="20"/>
        </w:rPr>
      </w:pPr>
      <w:r w:rsidRPr="005028A8">
        <w:rPr>
          <w:rFonts w:ascii="Century Gothic" w:eastAsia="Quattrocento Sans" w:hAnsi="Century Gothic" w:cs="Segoe UI"/>
          <w:b/>
          <w:i/>
          <w:sz w:val="18"/>
          <w:szCs w:val="20"/>
        </w:rPr>
        <w:t>Tabla. Número y porcentaje de casos de violencia sexual en niños, niñas y adolescentes.</w:t>
      </w:r>
    </w:p>
    <w:tbl>
      <w:tblPr>
        <w:tblW w:w="10207" w:type="dxa"/>
        <w:tblInd w:w="-441" w:type="dxa"/>
        <w:tblBorders>
          <w:top w:val="nil"/>
          <w:left w:val="nil"/>
          <w:bottom w:val="nil"/>
          <w:right w:val="nil"/>
          <w:insideH w:val="nil"/>
          <w:insideV w:val="nil"/>
        </w:tblBorders>
        <w:tblLayout w:type="fixed"/>
        <w:tblLook w:val="0600" w:firstRow="0" w:lastRow="0" w:firstColumn="0" w:lastColumn="0" w:noHBand="1" w:noVBand="1"/>
      </w:tblPr>
      <w:tblGrid>
        <w:gridCol w:w="1419"/>
        <w:gridCol w:w="856"/>
        <w:gridCol w:w="851"/>
        <w:gridCol w:w="850"/>
        <w:gridCol w:w="851"/>
        <w:gridCol w:w="1553"/>
        <w:gridCol w:w="1276"/>
        <w:gridCol w:w="1275"/>
        <w:gridCol w:w="1276"/>
      </w:tblGrid>
      <w:tr w:rsidR="004B0DF5" w:rsidRPr="005028A8" w14:paraId="4EE82C54" w14:textId="77777777" w:rsidTr="004B0DF5">
        <w:trPr>
          <w:trHeight w:val="321"/>
        </w:trPr>
        <w:tc>
          <w:tcPr>
            <w:tcW w:w="1419" w:type="dxa"/>
            <w:vMerge w:val="restart"/>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984B750" w14:textId="77777777" w:rsidR="0076698E" w:rsidRPr="005028A8" w:rsidRDefault="0076698E" w:rsidP="00CA0476">
            <w:pPr>
              <w:spacing w:line="276" w:lineRule="auto"/>
              <w:jc w:val="center"/>
              <w:rPr>
                <w:rFonts w:ascii="Century Gothic" w:eastAsia="Quattrocento Sans" w:hAnsi="Century Gothic" w:cs="Segoe UI"/>
                <w:b/>
                <w:sz w:val="18"/>
                <w:szCs w:val="20"/>
              </w:rPr>
            </w:pPr>
          </w:p>
          <w:p w14:paraId="13794A7D" w14:textId="77777777" w:rsidR="0076698E" w:rsidRPr="005028A8" w:rsidRDefault="0076698E" w:rsidP="00CA0476">
            <w:pPr>
              <w:spacing w:line="276" w:lineRule="auto"/>
              <w:jc w:val="center"/>
              <w:rPr>
                <w:rFonts w:ascii="Century Gothic" w:eastAsia="Quattrocento Sans" w:hAnsi="Century Gothic" w:cs="Segoe UI"/>
                <w:b/>
                <w:sz w:val="18"/>
                <w:szCs w:val="20"/>
              </w:rPr>
            </w:pPr>
          </w:p>
          <w:p w14:paraId="2F2B4965"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Edad por Quinquenio</w:t>
            </w:r>
          </w:p>
        </w:tc>
        <w:tc>
          <w:tcPr>
            <w:tcW w:w="85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2AAB7312"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2015</w:t>
            </w:r>
          </w:p>
        </w:tc>
        <w:tc>
          <w:tcPr>
            <w:tcW w:w="851"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0E6A490B" w14:textId="6E319C82"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2016</w:t>
            </w:r>
          </w:p>
        </w:tc>
        <w:tc>
          <w:tcPr>
            <w:tcW w:w="8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E80D3C2" w14:textId="22DF10EC"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2017</w:t>
            </w:r>
          </w:p>
        </w:tc>
        <w:tc>
          <w:tcPr>
            <w:tcW w:w="851"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4F488C1F"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2018</w:t>
            </w:r>
          </w:p>
        </w:tc>
        <w:tc>
          <w:tcPr>
            <w:tcW w:w="1553"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2D346884"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2015-2018</w:t>
            </w:r>
          </w:p>
        </w:tc>
        <w:tc>
          <w:tcPr>
            <w:tcW w:w="12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4E9A4EF8"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2015-2018</w:t>
            </w:r>
          </w:p>
        </w:tc>
        <w:tc>
          <w:tcPr>
            <w:tcW w:w="127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0D450B8"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Porcentajes</w:t>
            </w:r>
          </w:p>
          <w:p w14:paraId="3C296767"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2015-2018</w:t>
            </w:r>
          </w:p>
        </w:tc>
        <w:tc>
          <w:tcPr>
            <w:tcW w:w="1276"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1B70BBFA"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Porcentajes       2015-2018</w:t>
            </w:r>
          </w:p>
        </w:tc>
      </w:tr>
      <w:tr w:rsidR="004B0DF5" w:rsidRPr="005028A8" w14:paraId="47EB1E91" w14:textId="77777777" w:rsidTr="004B0DF5">
        <w:trPr>
          <w:trHeight w:val="349"/>
        </w:trPr>
        <w:tc>
          <w:tcPr>
            <w:tcW w:w="1419" w:type="dxa"/>
            <w:vMerge/>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3BF9696F" w14:textId="77777777" w:rsidR="0076698E" w:rsidRPr="005028A8" w:rsidRDefault="0076698E" w:rsidP="00CA0476">
            <w:pPr>
              <w:widowControl w:val="0"/>
              <w:pBdr>
                <w:top w:val="nil"/>
                <w:left w:val="nil"/>
                <w:bottom w:val="nil"/>
                <w:right w:val="nil"/>
                <w:between w:val="nil"/>
              </w:pBdr>
              <w:spacing w:line="276" w:lineRule="auto"/>
              <w:jc w:val="center"/>
              <w:rPr>
                <w:rFonts w:ascii="Century Gothic" w:eastAsia="Quattrocento Sans" w:hAnsi="Century Gothic" w:cs="Segoe UI"/>
                <w:b/>
                <w:sz w:val="18"/>
                <w:szCs w:val="20"/>
              </w:rPr>
            </w:pPr>
          </w:p>
        </w:tc>
        <w:tc>
          <w:tcPr>
            <w:tcW w:w="85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A4E95C6"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3D4AD96"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w:t>
            </w:r>
          </w:p>
        </w:tc>
        <w:tc>
          <w:tcPr>
            <w:tcW w:w="85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1143978" w14:textId="6AFFDB9D"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2FED929A"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w:t>
            </w:r>
          </w:p>
        </w:tc>
        <w:tc>
          <w:tcPr>
            <w:tcW w:w="155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81DE7E6"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Total hombres y mujeres</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3E56471C"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Porcentaje</w:t>
            </w:r>
          </w:p>
        </w:tc>
        <w:tc>
          <w:tcPr>
            <w:tcW w:w="127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EF2CDDF"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Hombres</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3D0AF8B"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Mujeres</w:t>
            </w:r>
          </w:p>
        </w:tc>
      </w:tr>
      <w:tr w:rsidR="004B0DF5" w:rsidRPr="005028A8" w14:paraId="2B8AA92B" w14:textId="77777777" w:rsidTr="004B0DF5">
        <w:trPr>
          <w:trHeight w:val="383"/>
        </w:trPr>
        <w:tc>
          <w:tcPr>
            <w:tcW w:w="1419" w:type="dxa"/>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2008DEC"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Menor de un Año</w:t>
            </w:r>
          </w:p>
        </w:tc>
        <w:tc>
          <w:tcPr>
            <w:tcW w:w="85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0A516A22" w14:textId="77777777" w:rsidR="0076698E" w:rsidRPr="005028A8" w:rsidRDefault="0076698E" w:rsidP="00CA0476">
            <w:pPr>
              <w:spacing w:line="276" w:lineRule="auto"/>
              <w:jc w:val="center"/>
              <w:rPr>
                <w:rFonts w:ascii="Century Gothic" w:eastAsia="Quattrocento Sans" w:hAnsi="Century Gothic" w:cs="Segoe UI"/>
                <w:sz w:val="18"/>
                <w:szCs w:val="20"/>
              </w:rPr>
            </w:pP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70615432"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109</w:t>
            </w:r>
          </w:p>
        </w:tc>
        <w:tc>
          <w:tcPr>
            <w:tcW w:w="85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60E7E4B1" w14:textId="1807BA6C"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125</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B3D551C"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147</w:t>
            </w:r>
          </w:p>
        </w:tc>
        <w:tc>
          <w:tcPr>
            <w:tcW w:w="1553"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AF6E1D9"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381</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2C431108"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w:t>
            </w:r>
          </w:p>
        </w:tc>
        <w:tc>
          <w:tcPr>
            <w:tcW w:w="127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23F13986"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14%</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78388672"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86%</w:t>
            </w:r>
          </w:p>
        </w:tc>
      </w:tr>
      <w:tr w:rsidR="004B0DF5" w:rsidRPr="005028A8" w14:paraId="54C8651A" w14:textId="77777777" w:rsidTr="004B0DF5">
        <w:trPr>
          <w:trHeight w:val="690"/>
        </w:trPr>
        <w:tc>
          <w:tcPr>
            <w:tcW w:w="141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0188A3E0"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0 a 4 años (2015) y 1 a 4 años (2016, 2017 y 2018)</w:t>
            </w:r>
          </w:p>
        </w:tc>
        <w:tc>
          <w:tcPr>
            <w:tcW w:w="85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203864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955</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C42B9E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2.270</w:t>
            </w:r>
          </w:p>
        </w:tc>
        <w:tc>
          <w:tcPr>
            <w:tcW w:w="85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6E2477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2.669</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1DC0EFF" w14:textId="30180A41"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3.353</w:t>
            </w:r>
          </w:p>
        </w:tc>
        <w:tc>
          <w:tcPr>
            <w:tcW w:w="155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2382F2B" w14:textId="655E16B8"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9247</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07658FD" w14:textId="46A4EA6C"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14%</w:t>
            </w:r>
          </w:p>
        </w:tc>
        <w:tc>
          <w:tcPr>
            <w:tcW w:w="127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740CFFA" w14:textId="0A7951CC"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23%</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3C77A381" w14:textId="0B503A19"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77%</w:t>
            </w:r>
          </w:p>
        </w:tc>
      </w:tr>
      <w:tr w:rsidR="004B0DF5" w:rsidRPr="005028A8" w14:paraId="30A6F57D" w14:textId="77777777" w:rsidTr="004B0DF5">
        <w:trPr>
          <w:trHeight w:val="257"/>
        </w:trPr>
        <w:tc>
          <w:tcPr>
            <w:tcW w:w="1419" w:type="dxa"/>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26DB7D19"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5 a 9 años</w:t>
            </w:r>
          </w:p>
        </w:tc>
        <w:tc>
          <w:tcPr>
            <w:tcW w:w="85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D5AFC1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1.502</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685567F"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3.579</w:t>
            </w:r>
          </w:p>
        </w:tc>
        <w:tc>
          <w:tcPr>
            <w:tcW w:w="85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45407B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4.297</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16B83566" w14:textId="6CF8BCEA"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5.662</w:t>
            </w:r>
          </w:p>
        </w:tc>
        <w:tc>
          <w:tcPr>
            <w:tcW w:w="1553"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3E53597" w14:textId="7BEACDD2"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15040</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7B45A9C9"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22%</w:t>
            </w:r>
          </w:p>
        </w:tc>
        <w:tc>
          <w:tcPr>
            <w:tcW w:w="127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A8F6C3F"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25%</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2B3879D7" w14:textId="2E767DC3"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75%</w:t>
            </w:r>
          </w:p>
        </w:tc>
      </w:tr>
      <w:tr w:rsidR="004B0DF5" w:rsidRPr="005028A8" w14:paraId="4CB0D7AA" w14:textId="77777777" w:rsidTr="004B0DF5">
        <w:trPr>
          <w:trHeight w:val="285"/>
        </w:trPr>
        <w:tc>
          <w:tcPr>
            <w:tcW w:w="141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102481B9"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10 a 14 años</w:t>
            </w:r>
          </w:p>
        </w:tc>
        <w:tc>
          <w:tcPr>
            <w:tcW w:w="85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3914A5B"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3.566</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7DE6F1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8.479</w:t>
            </w:r>
          </w:p>
        </w:tc>
        <w:tc>
          <w:tcPr>
            <w:tcW w:w="85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B58534C"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9.655</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68035D8" w14:textId="1B444589"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11.166</w:t>
            </w:r>
          </w:p>
        </w:tc>
        <w:tc>
          <w:tcPr>
            <w:tcW w:w="155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F9E71E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32866</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C840A2D"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49%</w:t>
            </w:r>
          </w:p>
        </w:tc>
        <w:tc>
          <w:tcPr>
            <w:tcW w:w="127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0872BBB"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8%</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5CA54E11" w14:textId="47D903F1"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92%</w:t>
            </w:r>
          </w:p>
        </w:tc>
      </w:tr>
      <w:tr w:rsidR="004B0DF5" w:rsidRPr="005028A8" w14:paraId="0158B47C" w14:textId="77777777" w:rsidTr="004B0DF5">
        <w:trPr>
          <w:trHeight w:val="271"/>
        </w:trPr>
        <w:tc>
          <w:tcPr>
            <w:tcW w:w="1419" w:type="dxa"/>
            <w:tcBorders>
              <w:top w:val="nil"/>
              <w:left w:val="single" w:sz="8" w:space="0" w:color="BFBFBF"/>
              <w:bottom w:val="single" w:sz="8" w:space="0" w:color="BFBFBF"/>
              <w:right w:val="single" w:sz="8" w:space="0" w:color="BFBFBF"/>
            </w:tcBorders>
            <w:shd w:val="clear" w:color="auto" w:fill="auto"/>
            <w:tcMar>
              <w:top w:w="100" w:type="dxa"/>
              <w:left w:w="100" w:type="dxa"/>
              <w:bottom w:w="100" w:type="dxa"/>
              <w:right w:w="100" w:type="dxa"/>
            </w:tcMar>
          </w:tcPr>
          <w:p w14:paraId="374E72DE"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15 a 18 años</w:t>
            </w:r>
          </w:p>
        </w:tc>
        <w:tc>
          <w:tcPr>
            <w:tcW w:w="85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57998DE2"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1.132</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38E4EBC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2.477</w:t>
            </w:r>
          </w:p>
        </w:tc>
        <w:tc>
          <w:tcPr>
            <w:tcW w:w="85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135C825"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2.642</w:t>
            </w:r>
          </w:p>
        </w:tc>
        <w:tc>
          <w:tcPr>
            <w:tcW w:w="851"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74C1CA4"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3.307</w:t>
            </w:r>
          </w:p>
        </w:tc>
        <w:tc>
          <w:tcPr>
            <w:tcW w:w="1553"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DF39A51"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9558</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1573EDFE"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14%</w:t>
            </w:r>
          </w:p>
        </w:tc>
        <w:tc>
          <w:tcPr>
            <w:tcW w:w="127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1B7DF793" w14:textId="77777777"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8%</w:t>
            </w:r>
          </w:p>
        </w:tc>
        <w:tc>
          <w:tcPr>
            <w:tcW w:w="1276"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14:paraId="4A8F951F" w14:textId="69C795E8" w:rsidR="0076698E" w:rsidRPr="005028A8" w:rsidRDefault="0076698E" w:rsidP="00CA0476">
            <w:pPr>
              <w:spacing w:line="276" w:lineRule="auto"/>
              <w:jc w:val="center"/>
              <w:rPr>
                <w:rFonts w:ascii="Century Gothic" w:eastAsia="Quattrocento Sans" w:hAnsi="Century Gothic" w:cs="Segoe UI"/>
                <w:sz w:val="18"/>
                <w:szCs w:val="20"/>
              </w:rPr>
            </w:pPr>
            <w:r w:rsidRPr="005028A8">
              <w:rPr>
                <w:rFonts w:ascii="Century Gothic" w:eastAsia="Quattrocento Sans" w:hAnsi="Century Gothic" w:cs="Segoe UI"/>
                <w:sz w:val="18"/>
                <w:szCs w:val="20"/>
              </w:rPr>
              <w:t>92%</w:t>
            </w:r>
          </w:p>
        </w:tc>
      </w:tr>
      <w:tr w:rsidR="004B0DF5" w:rsidRPr="005028A8" w14:paraId="30B39EC4" w14:textId="77777777" w:rsidTr="004B0DF5">
        <w:trPr>
          <w:trHeight w:val="257"/>
        </w:trPr>
        <w:tc>
          <w:tcPr>
            <w:tcW w:w="1419" w:type="dxa"/>
            <w:tcBorders>
              <w:top w:val="nil"/>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tcPr>
          <w:p w14:paraId="4310B3F1"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Total</w:t>
            </w:r>
          </w:p>
        </w:tc>
        <w:tc>
          <w:tcPr>
            <w:tcW w:w="85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2D3F58C"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7.155</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87FEEB9"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16.914</w:t>
            </w:r>
          </w:p>
        </w:tc>
        <w:tc>
          <w:tcPr>
            <w:tcW w:w="850"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EF61A94"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19.388</w:t>
            </w:r>
          </w:p>
        </w:tc>
        <w:tc>
          <w:tcPr>
            <w:tcW w:w="851"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726684C4"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23.635</w:t>
            </w:r>
          </w:p>
        </w:tc>
        <w:tc>
          <w:tcPr>
            <w:tcW w:w="1553"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62004DB6" w14:textId="77777777" w:rsidR="0076698E" w:rsidRPr="005028A8" w:rsidRDefault="0076698E" w:rsidP="00CA0476">
            <w:pPr>
              <w:spacing w:line="276" w:lineRule="auto"/>
              <w:jc w:val="center"/>
              <w:rPr>
                <w:rFonts w:ascii="Century Gothic" w:eastAsia="Quattrocento Sans" w:hAnsi="Century Gothic" w:cs="Segoe UI"/>
                <w:b/>
                <w:sz w:val="18"/>
                <w:szCs w:val="20"/>
                <w:u w:val="single"/>
              </w:rPr>
            </w:pPr>
            <w:r w:rsidRPr="005028A8">
              <w:rPr>
                <w:rFonts w:ascii="Century Gothic" w:eastAsia="Quattrocento Sans" w:hAnsi="Century Gothic" w:cs="Segoe UI"/>
                <w:b/>
                <w:sz w:val="18"/>
                <w:szCs w:val="20"/>
                <w:u w:val="single"/>
              </w:rPr>
              <w:t>67.092</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40B2185B"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100%</w:t>
            </w:r>
          </w:p>
        </w:tc>
        <w:tc>
          <w:tcPr>
            <w:tcW w:w="1275"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0B5D41B7"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14%</w:t>
            </w:r>
          </w:p>
        </w:tc>
        <w:tc>
          <w:tcPr>
            <w:tcW w:w="1276" w:type="dxa"/>
            <w:tcBorders>
              <w:top w:val="nil"/>
              <w:left w:val="nil"/>
              <w:bottom w:val="single" w:sz="8" w:space="0" w:color="BFBFBF"/>
              <w:right w:val="single" w:sz="8" w:space="0" w:color="BFBFBF"/>
            </w:tcBorders>
            <w:shd w:val="clear" w:color="auto" w:fill="F2F2F2"/>
            <w:tcMar>
              <w:top w:w="100" w:type="dxa"/>
              <w:left w:w="100" w:type="dxa"/>
              <w:bottom w:w="100" w:type="dxa"/>
              <w:right w:w="100" w:type="dxa"/>
            </w:tcMar>
          </w:tcPr>
          <w:p w14:paraId="13AEB71D" w14:textId="77777777" w:rsidR="0076698E" w:rsidRPr="005028A8" w:rsidRDefault="0076698E" w:rsidP="00CA0476">
            <w:pPr>
              <w:spacing w:line="276" w:lineRule="auto"/>
              <w:jc w:val="center"/>
              <w:rPr>
                <w:rFonts w:ascii="Century Gothic" w:eastAsia="Quattrocento Sans" w:hAnsi="Century Gothic" w:cs="Segoe UI"/>
                <w:b/>
                <w:sz w:val="18"/>
                <w:szCs w:val="20"/>
              </w:rPr>
            </w:pPr>
            <w:r w:rsidRPr="005028A8">
              <w:rPr>
                <w:rFonts w:ascii="Century Gothic" w:eastAsia="Quattrocento Sans" w:hAnsi="Century Gothic" w:cs="Segoe UI"/>
                <w:b/>
                <w:sz w:val="18"/>
                <w:szCs w:val="20"/>
              </w:rPr>
              <w:t>86%</w:t>
            </w:r>
          </w:p>
        </w:tc>
      </w:tr>
    </w:tbl>
    <w:p w14:paraId="75DE86C3" w14:textId="2EF2A78A" w:rsidR="0076698E" w:rsidRPr="007424F9" w:rsidRDefault="0076698E" w:rsidP="0076698E">
      <w:pPr>
        <w:spacing w:line="276" w:lineRule="auto"/>
        <w:jc w:val="center"/>
        <w:rPr>
          <w:rFonts w:ascii="Century Gothic" w:eastAsia="Quattrocento Sans" w:hAnsi="Century Gothic" w:cs="Segoe UI"/>
          <w:sz w:val="16"/>
          <w:szCs w:val="16"/>
        </w:rPr>
      </w:pPr>
      <w:r w:rsidRPr="007424F9">
        <w:rPr>
          <w:rFonts w:ascii="Century Gothic" w:eastAsia="Quattrocento Sans" w:hAnsi="Century Gothic" w:cs="Segoe UI"/>
          <w:sz w:val="16"/>
          <w:szCs w:val="16"/>
        </w:rPr>
        <w:t>Fuente: Sistema de Vigilancia en Salud Pública de las violencias de género – SIVILA – Instituto Nacional de Salud datos preliminares del año 2015, 2016, 2017 y 2018.</w:t>
      </w:r>
    </w:p>
    <w:p w14:paraId="5B6EAEB5" w14:textId="374083C1" w:rsidR="0076698E" w:rsidRDefault="0076698E" w:rsidP="00C31434">
      <w:pPr>
        <w:spacing w:line="276" w:lineRule="auto"/>
        <w:jc w:val="both"/>
        <w:rPr>
          <w:rFonts w:ascii="Century Gothic" w:eastAsia="Quattrocento Sans" w:hAnsi="Century Gothic" w:cs="Segoe UI"/>
          <w:sz w:val="21"/>
          <w:szCs w:val="21"/>
        </w:rPr>
      </w:pPr>
    </w:p>
    <w:p w14:paraId="394F33A7" w14:textId="77ABA197" w:rsidR="0076698E" w:rsidRDefault="0076698E" w:rsidP="0076698E">
      <w:pPr>
        <w:spacing w:line="276" w:lineRule="auto"/>
        <w:jc w:val="both"/>
        <w:rPr>
          <w:rFonts w:ascii="Century Gothic" w:hAnsi="Century Gothic" w:cs="Arial"/>
          <w:sz w:val="20"/>
          <w:szCs w:val="20"/>
        </w:rPr>
      </w:pPr>
      <w:r>
        <w:rPr>
          <w:rFonts w:ascii="Century Gothic" w:eastAsia="Quattrocento Sans" w:hAnsi="Century Gothic" w:cs="Segoe UI"/>
          <w:sz w:val="21"/>
          <w:szCs w:val="21"/>
        </w:rPr>
        <w:t xml:space="preserve">No obstante, </w:t>
      </w:r>
      <w:r w:rsidRPr="0076698E">
        <w:rPr>
          <w:rFonts w:ascii="Century Gothic" w:hAnsi="Century Gothic" w:cs="Arial"/>
          <w:sz w:val="20"/>
          <w:szCs w:val="20"/>
        </w:rPr>
        <w:t>el Grupo Centro de Referencia Nacional sobre Violencia (GCRNV) del Instituto Nacional de Medicina Legal y Ciencias Forense</w:t>
      </w:r>
      <w:r>
        <w:rPr>
          <w:rFonts w:ascii="Century Gothic" w:hAnsi="Century Gothic" w:cs="Arial"/>
          <w:sz w:val="20"/>
          <w:szCs w:val="20"/>
        </w:rPr>
        <w:t xml:space="preserve">, reporta cifras más alarmantes, pues respecto a total de </w:t>
      </w:r>
      <w:r w:rsidRPr="0076698E">
        <w:rPr>
          <w:rFonts w:ascii="Century Gothic" w:hAnsi="Century Gothic" w:cs="Arial"/>
          <w:sz w:val="20"/>
          <w:szCs w:val="20"/>
        </w:rPr>
        <w:t xml:space="preserve">exámenes médico legales </w:t>
      </w:r>
      <w:r>
        <w:rPr>
          <w:rFonts w:ascii="Century Gothic" w:hAnsi="Century Gothic" w:cs="Arial"/>
          <w:sz w:val="20"/>
          <w:szCs w:val="20"/>
        </w:rPr>
        <w:t xml:space="preserve">practicados </w:t>
      </w:r>
      <w:r w:rsidRPr="0076698E">
        <w:rPr>
          <w:rFonts w:ascii="Century Gothic" w:hAnsi="Century Gothic" w:cs="Arial"/>
          <w:sz w:val="20"/>
          <w:szCs w:val="20"/>
        </w:rPr>
        <w:t>por presunto delito sexual</w:t>
      </w:r>
      <w:r>
        <w:rPr>
          <w:rFonts w:ascii="Century Gothic" w:hAnsi="Century Gothic" w:cs="Arial"/>
          <w:sz w:val="20"/>
          <w:szCs w:val="20"/>
        </w:rPr>
        <w:t xml:space="preserve">, entre los años 2015-2018 fueron los </w:t>
      </w:r>
      <w:r w:rsidRPr="0076698E">
        <w:rPr>
          <w:rFonts w:ascii="Century Gothic" w:hAnsi="Century Gothic" w:cs="Arial"/>
          <w:sz w:val="20"/>
          <w:szCs w:val="20"/>
        </w:rPr>
        <w:t xml:space="preserve">niños, niñas y adolescentes, </w:t>
      </w:r>
      <w:r>
        <w:rPr>
          <w:rFonts w:ascii="Century Gothic" w:hAnsi="Century Gothic" w:cs="Arial"/>
          <w:sz w:val="20"/>
          <w:szCs w:val="20"/>
        </w:rPr>
        <w:t>los reportaron el mayor número de casos (</w:t>
      </w:r>
      <w:r w:rsidRPr="0076698E">
        <w:rPr>
          <w:rFonts w:ascii="Century Gothic" w:hAnsi="Century Gothic" w:cs="Arial"/>
          <w:b/>
          <w:sz w:val="20"/>
          <w:szCs w:val="20"/>
        </w:rPr>
        <w:t>81.054</w:t>
      </w:r>
      <w:r>
        <w:rPr>
          <w:rFonts w:ascii="Century Gothic" w:hAnsi="Century Gothic" w:cs="Arial"/>
          <w:sz w:val="20"/>
          <w:szCs w:val="20"/>
        </w:rPr>
        <w:t>), situación que refleja</w:t>
      </w:r>
      <w:r w:rsidRPr="0076698E">
        <w:rPr>
          <w:rFonts w:ascii="Century Gothic" w:hAnsi="Century Gothic" w:cs="Arial"/>
          <w:sz w:val="20"/>
          <w:szCs w:val="20"/>
        </w:rPr>
        <w:t xml:space="preserve"> un total quebrantamiento de su vida, libertad, integridad y formación sexual</w:t>
      </w:r>
      <w:r>
        <w:rPr>
          <w:rFonts w:ascii="Century Gothic" w:hAnsi="Century Gothic" w:cs="Arial"/>
          <w:sz w:val="20"/>
          <w:szCs w:val="20"/>
        </w:rPr>
        <w:t>:</w:t>
      </w:r>
    </w:p>
    <w:p w14:paraId="12DDA710" w14:textId="3710E823" w:rsidR="0076698E" w:rsidRDefault="0076698E" w:rsidP="0076698E">
      <w:pPr>
        <w:spacing w:line="276" w:lineRule="auto"/>
        <w:jc w:val="both"/>
        <w:rPr>
          <w:rFonts w:ascii="Century Gothic" w:hAnsi="Century Gothic" w:cs="Arial"/>
          <w:sz w:val="20"/>
          <w:szCs w:val="20"/>
          <w:lang w:val="es-CO"/>
        </w:rPr>
      </w:pPr>
    </w:p>
    <w:p w14:paraId="1EA658B0" w14:textId="3EEB74AB" w:rsidR="0076698E" w:rsidRDefault="0076698E" w:rsidP="0076698E">
      <w:pPr>
        <w:spacing w:line="276" w:lineRule="auto"/>
        <w:jc w:val="center"/>
        <w:rPr>
          <w:rFonts w:ascii="Century Gothic" w:eastAsia="Quattrocento Sans" w:hAnsi="Century Gothic" w:cs="Segoe UI"/>
          <w:b/>
          <w:i/>
          <w:sz w:val="20"/>
          <w:szCs w:val="20"/>
        </w:rPr>
      </w:pPr>
      <w:r>
        <w:rPr>
          <w:rFonts w:ascii="Century Gothic" w:eastAsia="Quattrocento Sans" w:hAnsi="Century Gothic" w:cs="Segoe UI"/>
          <w:b/>
          <w:i/>
          <w:sz w:val="20"/>
          <w:szCs w:val="20"/>
        </w:rPr>
        <w:t>N</w:t>
      </w:r>
      <w:r w:rsidRPr="0076698E">
        <w:rPr>
          <w:rFonts w:ascii="Century Gothic" w:eastAsia="Quattrocento Sans" w:hAnsi="Century Gothic" w:cs="Segoe UI"/>
          <w:b/>
          <w:i/>
          <w:sz w:val="20"/>
          <w:szCs w:val="20"/>
        </w:rPr>
        <w:t xml:space="preserve">úmero de exámenes médico legales sexológicos practicados por presunto delito sexual </w:t>
      </w:r>
      <w:r>
        <w:rPr>
          <w:rFonts w:ascii="Century Gothic" w:eastAsia="Quattrocento Sans" w:hAnsi="Century Gothic" w:cs="Segoe UI"/>
          <w:b/>
          <w:i/>
          <w:sz w:val="20"/>
          <w:szCs w:val="20"/>
        </w:rPr>
        <w:t>a</w:t>
      </w:r>
      <w:r w:rsidRPr="0076698E">
        <w:rPr>
          <w:rFonts w:ascii="Century Gothic" w:eastAsia="Quattrocento Sans" w:hAnsi="Century Gothic" w:cs="Segoe UI"/>
          <w:b/>
          <w:i/>
          <w:sz w:val="20"/>
          <w:szCs w:val="20"/>
        </w:rPr>
        <w:t xml:space="preserve"> niños, niñas y adolescentes</w:t>
      </w:r>
      <w:r>
        <w:rPr>
          <w:rFonts w:ascii="Century Gothic" w:eastAsia="Quattrocento Sans" w:hAnsi="Century Gothic" w:cs="Segoe UI"/>
          <w:b/>
          <w:i/>
          <w:sz w:val="20"/>
          <w:szCs w:val="20"/>
        </w:rPr>
        <w:t xml:space="preserve">. </w:t>
      </w:r>
      <w:r w:rsidRPr="0076698E">
        <w:rPr>
          <w:rFonts w:ascii="Century Gothic" w:eastAsia="Quattrocento Sans" w:hAnsi="Century Gothic" w:cs="Segoe UI"/>
          <w:b/>
          <w:i/>
          <w:sz w:val="20"/>
          <w:szCs w:val="20"/>
        </w:rPr>
        <w:t>2015-2018</w:t>
      </w:r>
    </w:p>
    <w:p w14:paraId="390E794F" w14:textId="77777777" w:rsidR="00B07C98" w:rsidRPr="0076698E" w:rsidRDefault="00B07C98" w:rsidP="0076698E">
      <w:pPr>
        <w:spacing w:line="276" w:lineRule="auto"/>
        <w:jc w:val="center"/>
        <w:rPr>
          <w:rFonts w:ascii="Century Gothic" w:eastAsia="Quattrocento Sans" w:hAnsi="Century Gothic" w:cs="Segoe UI"/>
          <w:b/>
          <w:i/>
          <w:sz w:val="20"/>
          <w:szCs w:val="20"/>
        </w:rPr>
      </w:pPr>
    </w:p>
    <w:p w14:paraId="16F9271B" w14:textId="2D489959" w:rsidR="0076698E" w:rsidRDefault="0076698E" w:rsidP="0076698E">
      <w:pPr>
        <w:spacing w:line="276" w:lineRule="auto"/>
        <w:jc w:val="both"/>
        <w:rPr>
          <w:rFonts w:ascii="Century Gothic" w:hAnsi="Century Gothic" w:cs="Arial"/>
          <w:sz w:val="20"/>
          <w:szCs w:val="20"/>
        </w:rPr>
      </w:pPr>
      <w:r w:rsidRPr="0076698E">
        <w:rPr>
          <w:rFonts w:ascii="Century Gothic" w:hAnsi="Century Gothic" w:cs="Arial"/>
          <w:noProof/>
          <w:sz w:val="20"/>
          <w:szCs w:val="20"/>
          <w:lang w:val="es-CO" w:eastAsia="es-CO"/>
        </w:rPr>
        <w:drawing>
          <wp:inline distT="0" distB="0" distL="0" distR="0" wp14:anchorId="3C2DC9D8" wp14:editId="70D95E06">
            <wp:extent cx="5791835" cy="1415453"/>
            <wp:effectExtent l="0" t="0" r="24765" b="698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2EDD86" w14:textId="552FAC5F" w:rsidR="0076698E" w:rsidRDefault="0076698E" w:rsidP="0076698E">
      <w:pPr>
        <w:spacing w:line="276" w:lineRule="auto"/>
        <w:jc w:val="both"/>
        <w:rPr>
          <w:rFonts w:ascii="Century Gothic" w:hAnsi="Century Gothic" w:cs="Arial"/>
          <w:sz w:val="20"/>
          <w:szCs w:val="20"/>
        </w:rPr>
      </w:pPr>
      <w:r w:rsidRPr="0076698E">
        <w:rPr>
          <w:rFonts w:ascii="Century Gothic" w:hAnsi="Century Gothic" w:cs="Arial"/>
          <w:noProof/>
          <w:sz w:val="20"/>
          <w:szCs w:val="20"/>
          <w:lang w:val="es-CO" w:eastAsia="es-CO"/>
        </w:rPr>
        <mc:AlternateContent>
          <mc:Choice Requires="wps">
            <w:drawing>
              <wp:anchor distT="0" distB="0" distL="114300" distR="114300" simplePos="0" relativeHeight="251659264" behindDoc="0" locked="0" layoutInCell="1" allowOverlap="1" wp14:anchorId="38069ED4" wp14:editId="2EFC8636">
                <wp:simplePos x="0" y="0"/>
                <wp:positionH relativeFrom="column">
                  <wp:posOffset>585470</wp:posOffset>
                </wp:positionH>
                <wp:positionV relativeFrom="paragraph">
                  <wp:posOffset>24130</wp:posOffset>
                </wp:positionV>
                <wp:extent cx="4723765" cy="377825"/>
                <wp:effectExtent l="0" t="0" r="0" b="0"/>
                <wp:wrapNone/>
                <wp:docPr id="8" name="Rectángulo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C457ECF7-33A7-A94B-804B-FC774DBCF75E}"/>
                    </a:ext>
                  </a:extLst>
                </wp:docPr>
                <wp:cNvGraphicFramePr/>
                <a:graphic xmlns:a="http://schemas.openxmlformats.org/drawingml/2006/main">
                  <a:graphicData uri="http://schemas.microsoft.com/office/word/2010/wordprocessingShape">
                    <wps:wsp>
                      <wps:cNvSpPr/>
                      <wps:spPr>
                        <a:xfrm>
                          <a:off x="0" y="0"/>
                          <a:ext cx="4723765" cy="377825"/>
                        </a:xfrm>
                        <a:prstGeom prst="rect">
                          <a:avLst/>
                        </a:prstGeom>
                      </wps:spPr>
                      <wps:txbx>
                        <w:txbxContent>
                          <w:p w14:paraId="13330C16" w14:textId="69E7992A" w:rsidR="0076698E" w:rsidRDefault="0076698E" w:rsidP="0076698E">
                            <w:pPr>
                              <w:pStyle w:val="NormalWeb"/>
                              <w:spacing w:before="0" w:beforeAutospacing="0" w:after="0" w:afterAutospacing="0" w:line="276" w:lineRule="auto"/>
                              <w:jc w:val="center"/>
                              <w:rPr>
                                <w:rFonts w:ascii="Century Gothic" w:hAnsi="Century Gothic" w:cs="Arial"/>
                                <w:sz w:val="16"/>
                                <w:szCs w:val="16"/>
                              </w:rPr>
                            </w:pPr>
                            <w:r w:rsidRPr="0076698E">
                              <w:rPr>
                                <w:rFonts w:ascii="Century Gothic" w:eastAsia="Calibri" w:hAnsi="Century Gothic" w:cs="Arial"/>
                                <w:b/>
                                <w:bCs/>
                                <w:color w:val="000000" w:themeColor="text1"/>
                                <w:kern w:val="24"/>
                                <w:sz w:val="16"/>
                                <w:szCs w:val="16"/>
                                <w:lang w:val="es-ES"/>
                              </w:rPr>
                              <w:t xml:space="preserve">Fuente: </w:t>
                            </w:r>
                            <w:r w:rsidRPr="0076698E">
                              <w:rPr>
                                <w:rFonts w:ascii="Century Gothic" w:hAnsi="Century Gothic" w:cs="Arial"/>
                                <w:sz w:val="16"/>
                                <w:szCs w:val="16"/>
                              </w:rPr>
                              <w:t>Instituto Nacional de Medicina Legal y Ciencias Forense</w:t>
                            </w:r>
                          </w:p>
                          <w:p w14:paraId="74EBC050" w14:textId="77777777" w:rsidR="0076698E" w:rsidRPr="0076698E" w:rsidRDefault="0076698E" w:rsidP="0076698E">
                            <w:pPr>
                              <w:pStyle w:val="NormalWeb"/>
                              <w:spacing w:before="0" w:beforeAutospacing="0" w:after="0" w:afterAutospacing="0" w:line="276" w:lineRule="auto"/>
                              <w:jc w:val="center"/>
                              <w:rPr>
                                <w:rFonts w:ascii="Century Gothic" w:hAnsi="Century Gothic"/>
                                <w:sz w:val="16"/>
                                <w:szCs w:val="16"/>
                              </w:rPr>
                            </w:pPr>
                          </w:p>
                        </w:txbxContent>
                      </wps:txbx>
                      <wps:bodyPr wrap="square">
                        <a:spAutoFit/>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cx="http://schemas.microsoft.com/office/drawing/2014/chartex">
            <w:pict>
              <v:rect w14:anchorId="38069ED4" id="Rectángulo 7" o:spid="_x0000_s1026" style="position:absolute;left:0;text-align:left;margin-left:46.1pt;margin-top:1.9pt;width:371.95pt;height:2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" filled="f" stroked="f">
                <v:textbox style="mso-fit-shape-to-text:t">
                  <w:txbxContent>
                    <w:p w14:paraId="13330C16" w14:textId="69E7992A" w:rsidR="0076698E" w:rsidRDefault="0076698E" w:rsidP="0076698E">
                      <w:pPr>
                        <w:pStyle w:val="NormalWeb"/>
                        <w:spacing w:before="0" w:beforeAutospacing="0" w:after="0" w:afterAutospacing="0" w:line="276" w:lineRule="auto"/>
                        <w:jc w:val="center"/>
                        <w:rPr>
                          <w:rFonts w:ascii="Century Gothic" w:hAnsi="Century Gothic" w:cs="Arial"/>
                          <w:sz w:val="16"/>
                          <w:szCs w:val="16"/>
                        </w:rPr>
                      </w:pPr>
                      <w:r w:rsidRPr="0076698E">
                        <w:rPr>
                          <w:rFonts w:ascii="Century Gothic" w:eastAsia="Calibri" w:hAnsi="Century Gothic" w:cs="Arial"/>
                          <w:b/>
                          <w:bCs/>
                          <w:color w:val="000000" w:themeColor="text1"/>
                          <w:kern w:val="24"/>
                          <w:sz w:val="16"/>
                          <w:szCs w:val="16"/>
                          <w:lang w:val="es-ES"/>
                        </w:rPr>
                        <w:t xml:space="preserve">Fuente: </w:t>
                      </w:r>
                      <w:r w:rsidRPr="0076698E">
                        <w:rPr>
                          <w:rFonts w:ascii="Century Gothic" w:hAnsi="Century Gothic" w:cs="Arial"/>
                          <w:sz w:val="16"/>
                          <w:szCs w:val="16"/>
                        </w:rPr>
                        <w:t>Instituto Nacional de Medicina Legal y Ciencias Forense</w:t>
                      </w:r>
                    </w:p>
                    <w:p w14:paraId="74EBC050" w14:textId="77777777" w:rsidR="0076698E" w:rsidRPr="0076698E" w:rsidRDefault="0076698E" w:rsidP="0076698E">
                      <w:pPr>
                        <w:pStyle w:val="NormalWeb"/>
                        <w:spacing w:before="0" w:beforeAutospacing="0" w:after="0" w:afterAutospacing="0" w:line="276" w:lineRule="auto"/>
                        <w:jc w:val="center"/>
                        <w:rPr>
                          <w:rFonts w:ascii="Century Gothic" w:hAnsi="Century Gothic"/>
                          <w:sz w:val="16"/>
                          <w:szCs w:val="16"/>
                        </w:rPr>
                      </w:pPr>
                    </w:p>
                  </w:txbxContent>
                </v:textbox>
              </v:rect>
            </w:pict>
          </mc:Fallback>
        </mc:AlternateContent>
      </w:r>
    </w:p>
    <w:p w14:paraId="276D9BD7" w14:textId="77777777" w:rsidR="00055FC5" w:rsidRDefault="00C31434" w:rsidP="00055FC5">
      <w:pPr>
        <w:spacing w:line="276" w:lineRule="auto"/>
        <w:jc w:val="both"/>
      </w:pPr>
      <w:r w:rsidRPr="00196F70">
        <w:rPr>
          <w:rFonts w:ascii="Century Gothic" w:eastAsia="Quattrocento Sans" w:hAnsi="Century Gothic" w:cs="Segoe UI"/>
          <w:sz w:val="21"/>
          <w:szCs w:val="21"/>
        </w:rPr>
        <w:lastRenderedPageBreak/>
        <w:t>Sin embargo, en Colombia, como en muchos países, el abuso sexual no es fácil de exteriorizar ni denunciar, por temas culturales y por incapacidad de las víctimas de reconocer hechos tan aterradores</w:t>
      </w:r>
      <w:r w:rsidR="0076698E">
        <w:rPr>
          <w:rFonts w:ascii="Century Gothic" w:eastAsia="Quattrocento Sans" w:hAnsi="Century Gothic" w:cs="Segoe UI"/>
          <w:sz w:val="21"/>
          <w:szCs w:val="21"/>
        </w:rPr>
        <w:t>;</w:t>
      </w:r>
      <w:r w:rsidRPr="00196F70">
        <w:rPr>
          <w:rFonts w:ascii="Century Gothic" w:eastAsia="Quattrocento Sans" w:hAnsi="Century Gothic" w:cs="Segoe UI"/>
          <w:sz w:val="21"/>
          <w:szCs w:val="21"/>
        </w:rPr>
        <w:t xml:space="preserve"> </w:t>
      </w:r>
      <w:r w:rsidR="0076698E">
        <w:rPr>
          <w:rFonts w:ascii="Century Gothic" w:eastAsia="Quattrocento Sans" w:hAnsi="Century Gothic" w:cs="Segoe UI"/>
          <w:sz w:val="21"/>
          <w:szCs w:val="21"/>
        </w:rPr>
        <w:t xml:space="preserve">y es que </w:t>
      </w:r>
      <w:r w:rsidRPr="00196F70">
        <w:rPr>
          <w:rFonts w:ascii="Century Gothic" w:eastAsia="Quattrocento Sans" w:hAnsi="Century Gothic" w:cs="Segoe UI"/>
          <w:sz w:val="21"/>
          <w:szCs w:val="21"/>
        </w:rPr>
        <w:t>la situación es tan complicada que UNICEF estima que “alrededor de 120 millones de niñas menores de 20 años en todo el mundo (alrededor de 1 de cada 10) han experimentado relaciones sexuales por la fuerza u otros actos sexuales forzados”</w:t>
      </w:r>
      <w:r w:rsidRPr="00196F70">
        <w:rPr>
          <w:rStyle w:val="Refdenotaalpie"/>
          <w:rFonts w:ascii="Century Gothic" w:eastAsia="Quattrocento Sans" w:hAnsi="Century Gothic" w:cs="Segoe UI"/>
          <w:sz w:val="21"/>
          <w:szCs w:val="21"/>
        </w:rPr>
        <w:footnoteReference w:id="8"/>
      </w:r>
      <w:r w:rsidRPr="00196F70">
        <w:rPr>
          <w:rFonts w:ascii="Century Gothic" w:eastAsia="Quattrocento Sans" w:hAnsi="Century Gothic" w:cs="Segoe UI"/>
          <w:sz w:val="21"/>
          <w:szCs w:val="21"/>
        </w:rPr>
        <w:t>. En otros países como España, según la fundación Save The Children, el 70% de los abusos sexuales no tuvieron audiencia oral, es decir que las víctimas no tuvieron justicia en sus casos</w:t>
      </w:r>
      <w:r w:rsidRPr="00196F70">
        <w:rPr>
          <w:rStyle w:val="Refdenotaalpie"/>
          <w:rFonts w:ascii="Century Gothic" w:eastAsia="Quattrocento Sans" w:hAnsi="Century Gothic" w:cs="Segoe UI"/>
          <w:sz w:val="21"/>
          <w:szCs w:val="21"/>
        </w:rPr>
        <w:footnoteReference w:id="9"/>
      </w:r>
      <w:r w:rsidRPr="00196F70">
        <w:rPr>
          <w:rFonts w:ascii="Century Gothic" w:eastAsia="Quattrocento Sans" w:hAnsi="Century Gothic" w:cs="Segoe UI"/>
          <w:sz w:val="21"/>
          <w:szCs w:val="21"/>
        </w:rPr>
        <w:t>.</w:t>
      </w:r>
      <w:r w:rsidR="00055FC5" w:rsidRPr="00055FC5">
        <w:t xml:space="preserve"> </w:t>
      </w:r>
    </w:p>
    <w:p w14:paraId="6E94A882" w14:textId="15DB39D8" w:rsidR="00C31434" w:rsidRPr="007424F9" w:rsidRDefault="00C31434" w:rsidP="0076698E">
      <w:pPr>
        <w:jc w:val="both"/>
        <w:rPr>
          <w:rFonts w:ascii="Century Gothic" w:eastAsia="Quattrocento Sans" w:hAnsi="Century Gothic" w:cs="Segoe UI"/>
          <w:sz w:val="18"/>
          <w:szCs w:val="18"/>
        </w:rPr>
      </w:pPr>
    </w:p>
    <w:p w14:paraId="58116F0C" w14:textId="77777777" w:rsidR="00C31434" w:rsidRPr="006A4B93" w:rsidRDefault="00C31434" w:rsidP="00C31434">
      <w:pPr>
        <w:spacing w:line="276" w:lineRule="auto"/>
        <w:jc w:val="both"/>
        <w:rPr>
          <w:rFonts w:ascii="Century Gothic" w:eastAsia="Quattrocento Sans" w:hAnsi="Century Gothic" w:cs="Segoe UI"/>
          <w:sz w:val="21"/>
          <w:szCs w:val="21"/>
        </w:rPr>
      </w:pPr>
      <w:r w:rsidRPr="006A4B93">
        <w:rPr>
          <w:rFonts w:ascii="Century Gothic" w:eastAsia="Quattrocento Sans" w:hAnsi="Century Gothic" w:cs="Segoe UI"/>
          <w:sz w:val="21"/>
          <w:szCs w:val="21"/>
        </w:rPr>
        <w:t>Con base en el gran número de casos en donde niños, niñas y adolescentes que son víctimas de casos de violencia sexual en Colombia, para este proyecto de ley es necesario avanzar en la imprescriptibilidad de la acción penal para el juzgamiento de estos delitos.</w:t>
      </w:r>
    </w:p>
    <w:p w14:paraId="2FDE07E3" w14:textId="77777777" w:rsidR="00C31434" w:rsidRPr="006A4B93" w:rsidRDefault="00C31434" w:rsidP="0076698E">
      <w:pPr>
        <w:jc w:val="both"/>
        <w:rPr>
          <w:rFonts w:ascii="Century Gothic" w:eastAsia="Quattrocento Sans" w:hAnsi="Century Gothic" w:cs="Segoe UI"/>
          <w:sz w:val="21"/>
          <w:szCs w:val="21"/>
        </w:rPr>
      </w:pPr>
    </w:p>
    <w:p w14:paraId="73E151D9" w14:textId="77777777" w:rsidR="00C31434" w:rsidRPr="006A4B93" w:rsidRDefault="00C31434" w:rsidP="00C31434">
      <w:pPr>
        <w:spacing w:line="276" w:lineRule="auto"/>
        <w:jc w:val="both"/>
        <w:rPr>
          <w:rFonts w:ascii="Century Gothic" w:eastAsia="Quattrocento Sans" w:hAnsi="Century Gothic" w:cs="Segoe UI"/>
          <w:sz w:val="21"/>
          <w:szCs w:val="21"/>
        </w:rPr>
      </w:pPr>
      <w:r w:rsidRPr="006A4B93">
        <w:rPr>
          <w:rFonts w:ascii="Century Gothic" w:eastAsia="Quattrocento Sans" w:hAnsi="Century Gothic" w:cs="Segoe UI"/>
          <w:sz w:val="21"/>
          <w:szCs w:val="21"/>
        </w:rPr>
        <w:t>Actualmente, los delitos que atentan contra la libertad, integridad y formación sexuales de los menores prescriben 20 años después de que las víctimas hayan alcanzado la mayoría de edad, sin embargo, como se mencionó anteriormente es amplia la literatura científica y estadística que indica que la ocurrencia de estos delitos es denunciada muchos años después de haber ocurrido e incluso, en muchos casos nunca es denunciada.</w:t>
      </w:r>
    </w:p>
    <w:p w14:paraId="260DEF7D" w14:textId="77777777" w:rsidR="00C31434" w:rsidRPr="006A4B93" w:rsidRDefault="00C31434" w:rsidP="00C31434">
      <w:pPr>
        <w:spacing w:line="276" w:lineRule="auto"/>
        <w:jc w:val="both"/>
        <w:rPr>
          <w:rFonts w:ascii="Century Gothic" w:eastAsia="Quattrocento Sans" w:hAnsi="Century Gothic" w:cs="Segoe UI"/>
          <w:sz w:val="21"/>
          <w:szCs w:val="21"/>
        </w:rPr>
      </w:pPr>
    </w:p>
    <w:p w14:paraId="2B0E0B11" w14:textId="2700707E" w:rsidR="00055FC5" w:rsidRPr="006A4B93" w:rsidRDefault="00C31434" w:rsidP="00C31434">
      <w:pPr>
        <w:spacing w:line="276" w:lineRule="auto"/>
        <w:jc w:val="both"/>
        <w:rPr>
          <w:rFonts w:ascii="Century Gothic" w:eastAsia="Quattrocento Sans" w:hAnsi="Century Gothic" w:cs="Segoe UI"/>
          <w:sz w:val="21"/>
          <w:szCs w:val="21"/>
        </w:rPr>
      </w:pPr>
      <w:r w:rsidRPr="006A4B93">
        <w:rPr>
          <w:rFonts w:ascii="Century Gothic" w:eastAsia="Quattrocento Sans" w:hAnsi="Century Gothic" w:cs="Segoe UI"/>
          <w:sz w:val="21"/>
          <w:szCs w:val="21"/>
        </w:rPr>
        <w:t xml:space="preserve">En la Ley 599 de 2000 – Código Penal, la prescripción implica que el transcurso del tiempo sin que se active el aparato jurisdiccional para enjuiciar un delito extingue el derecho de acción, con una consecuencia jurídica que da lugar a la imposibilidad de investigación, imputación, juzgamiento y sanción de tipo penal, dicho de otro modo, a la impunidad. </w:t>
      </w:r>
    </w:p>
    <w:p w14:paraId="1ED80A88" w14:textId="77777777" w:rsidR="00C31434" w:rsidRPr="006A4B93" w:rsidRDefault="00C31434" w:rsidP="00C31434">
      <w:pPr>
        <w:spacing w:line="276" w:lineRule="auto"/>
        <w:jc w:val="both"/>
        <w:rPr>
          <w:rFonts w:ascii="Century Gothic" w:eastAsia="Quattrocento Sans" w:hAnsi="Century Gothic" w:cs="Segoe UI"/>
          <w:sz w:val="21"/>
          <w:szCs w:val="21"/>
        </w:rPr>
      </w:pPr>
    </w:p>
    <w:p w14:paraId="19B47EB7" w14:textId="56E8556F" w:rsidR="001562D0" w:rsidRDefault="00C31434" w:rsidP="00C31434">
      <w:pPr>
        <w:spacing w:line="276" w:lineRule="auto"/>
        <w:jc w:val="both"/>
        <w:rPr>
          <w:rFonts w:ascii="Century Gothic" w:eastAsia="Quattrocento Sans" w:hAnsi="Century Gothic" w:cs="Segoe UI"/>
          <w:sz w:val="21"/>
          <w:szCs w:val="21"/>
        </w:rPr>
      </w:pPr>
      <w:r w:rsidRPr="006A4B93">
        <w:rPr>
          <w:rFonts w:ascii="Century Gothic" w:eastAsia="Quattrocento Sans" w:hAnsi="Century Gothic" w:cs="Segoe UI"/>
          <w:sz w:val="21"/>
          <w:szCs w:val="21"/>
        </w:rPr>
        <w:t>En conclusión, dada la gravedad de los delitos que atentan contra la libertad, integridad y formación sexuales de los menores de edad, es necesario dar un tratamiento diferencial en relación con los otros tipos penales que contiene nuestro Código, teniendo como referencia las experiencias chilenas y peruanas en donde, atendiendo el interés superior del niño y la prevalencia de sus derechos sobre los demás, esos delitos tienen el carácter de imprescriptibles.</w:t>
      </w:r>
    </w:p>
    <w:p w14:paraId="2A225DFD" w14:textId="037C8483" w:rsidR="00055FC5" w:rsidRDefault="00055FC5" w:rsidP="00C31434">
      <w:pPr>
        <w:spacing w:line="276" w:lineRule="auto"/>
        <w:jc w:val="both"/>
        <w:rPr>
          <w:rFonts w:ascii="Century Gothic" w:eastAsia="Quattrocento Sans" w:hAnsi="Century Gothic" w:cs="Segoe UI"/>
          <w:sz w:val="21"/>
          <w:szCs w:val="21"/>
        </w:rPr>
      </w:pPr>
    </w:p>
    <w:p w14:paraId="653E3C4C" w14:textId="77777777" w:rsidR="00055FC5" w:rsidRPr="00055FC5" w:rsidRDefault="00055FC5" w:rsidP="00055FC5">
      <w:pPr>
        <w:spacing w:line="276" w:lineRule="auto"/>
        <w:jc w:val="both"/>
        <w:rPr>
          <w:rFonts w:ascii="Century Gothic" w:eastAsia="Quattrocento Sans" w:hAnsi="Century Gothic" w:cs="Segoe UI"/>
          <w:sz w:val="21"/>
          <w:szCs w:val="21"/>
        </w:rPr>
      </w:pPr>
      <w:r w:rsidRPr="00055FC5">
        <w:rPr>
          <w:rFonts w:ascii="Century Gothic" w:eastAsia="Quattrocento Sans" w:hAnsi="Century Gothic" w:cs="Segoe UI"/>
          <w:sz w:val="21"/>
          <w:szCs w:val="21"/>
        </w:rPr>
        <w:t xml:space="preserve">La prescripción es considerada como “la sanción jurídica que opera en un proceso penal por haber transcurrido un plazo determinado de tiempo sin que se haya enjuiciado a un imputado, o bien, sin que se haya hecho efectiva una condena a un sentenciado” (Rojas, 2007), de esta forma, tal como lo afirma la Corte Constitucional mediante Sentencia C-578/2002 “el transcurso del tiempo obra como causa de extinción de la punibilidad no solamente en abstracto -prescripción del delito-, sino en concreto -prescripción de la pena-, y, por consiguiente, pone fin al proceso penal”. </w:t>
      </w:r>
    </w:p>
    <w:p w14:paraId="76688ED0" w14:textId="6BF8AA71" w:rsidR="00055FC5" w:rsidRDefault="00055FC5" w:rsidP="00055FC5">
      <w:pPr>
        <w:spacing w:line="276" w:lineRule="auto"/>
        <w:jc w:val="both"/>
        <w:rPr>
          <w:rFonts w:ascii="Century Gothic" w:eastAsia="Quattrocento Sans" w:hAnsi="Century Gothic" w:cs="Segoe UI"/>
          <w:sz w:val="21"/>
          <w:szCs w:val="21"/>
        </w:rPr>
      </w:pPr>
      <w:r w:rsidRPr="00055FC5">
        <w:rPr>
          <w:rFonts w:ascii="Century Gothic" w:eastAsia="Quattrocento Sans" w:hAnsi="Century Gothic" w:cs="Segoe UI"/>
          <w:sz w:val="21"/>
          <w:szCs w:val="21"/>
        </w:rPr>
        <w:lastRenderedPageBreak/>
        <w:t xml:space="preserve">Es decir que, tal como se encuentra hoy en el Código Penal, articulo 83, la prescripción penal para delitos contra la libertad, integridad y formación sexuales, o el delito consagrado en el artículo 237, cometidos en menores de edad, seria de veinte (20) años contados a partir del momento en que la víctima alcance la mayoría de edad. </w:t>
      </w:r>
    </w:p>
    <w:p w14:paraId="79AC48E5" w14:textId="77777777" w:rsidR="006E4654" w:rsidRPr="00055FC5" w:rsidRDefault="006E4654" w:rsidP="00055FC5">
      <w:pPr>
        <w:spacing w:line="276" w:lineRule="auto"/>
        <w:jc w:val="both"/>
        <w:rPr>
          <w:rFonts w:ascii="Century Gothic" w:eastAsia="Quattrocento Sans" w:hAnsi="Century Gothic" w:cs="Segoe UI"/>
          <w:sz w:val="21"/>
          <w:szCs w:val="21"/>
        </w:rPr>
      </w:pPr>
    </w:p>
    <w:p w14:paraId="5AF441A5" w14:textId="688E5BE1" w:rsidR="00055FC5" w:rsidRDefault="00055FC5" w:rsidP="00055FC5">
      <w:pPr>
        <w:spacing w:line="276" w:lineRule="auto"/>
        <w:jc w:val="both"/>
        <w:rPr>
          <w:rFonts w:ascii="Century Gothic" w:eastAsia="Quattrocento Sans" w:hAnsi="Century Gothic" w:cs="Segoe UI"/>
          <w:sz w:val="21"/>
          <w:szCs w:val="21"/>
        </w:rPr>
      </w:pPr>
      <w:r w:rsidRPr="00055FC5">
        <w:rPr>
          <w:rFonts w:ascii="Century Gothic" w:eastAsia="Quattrocento Sans" w:hAnsi="Century Gothic" w:cs="Segoe UI"/>
          <w:sz w:val="21"/>
          <w:szCs w:val="21"/>
        </w:rPr>
        <w:t xml:space="preserve">Por este motivo, </w:t>
      </w:r>
      <w:r w:rsidR="003F4537">
        <w:rPr>
          <w:rFonts w:ascii="Century Gothic" w:eastAsia="Quattrocento Sans" w:hAnsi="Century Gothic" w:cs="Segoe UI"/>
          <w:sz w:val="21"/>
          <w:szCs w:val="21"/>
        </w:rPr>
        <w:t>los</w:t>
      </w:r>
      <w:r w:rsidR="003F4537" w:rsidRPr="00055FC5">
        <w:rPr>
          <w:rFonts w:ascii="Century Gothic" w:eastAsia="Quattrocento Sans" w:hAnsi="Century Gothic" w:cs="Segoe UI"/>
          <w:sz w:val="21"/>
          <w:szCs w:val="21"/>
        </w:rPr>
        <w:t xml:space="preserve"> proyectos</w:t>
      </w:r>
      <w:r w:rsidR="003F4537">
        <w:rPr>
          <w:rFonts w:ascii="Century Gothic" w:eastAsia="Quattrocento Sans" w:hAnsi="Century Gothic" w:cs="Segoe UI"/>
          <w:sz w:val="21"/>
          <w:szCs w:val="21"/>
        </w:rPr>
        <w:t xml:space="preserve"> de le</w:t>
      </w:r>
      <w:r w:rsidRPr="00055FC5">
        <w:rPr>
          <w:rFonts w:ascii="Century Gothic" w:eastAsia="Quattrocento Sans" w:hAnsi="Century Gothic" w:cs="Segoe UI"/>
          <w:sz w:val="21"/>
          <w:szCs w:val="21"/>
        </w:rPr>
        <w:t xml:space="preserve">y </w:t>
      </w:r>
      <w:r w:rsidR="003F4537">
        <w:rPr>
          <w:rFonts w:ascii="Century Gothic" w:eastAsia="Quattrocento Sans" w:hAnsi="Century Gothic" w:cs="Segoe UI"/>
          <w:sz w:val="21"/>
          <w:szCs w:val="21"/>
        </w:rPr>
        <w:t>acumulados</w:t>
      </w:r>
      <w:r w:rsidRPr="00055FC5">
        <w:rPr>
          <w:rFonts w:ascii="Century Gothic" w:eastAsia="Quattrocento Sans" w:hAnsi="Century Gothic" w:cs="Segoe UI"/>
          <w:sz w:val="21"/>
          <w:szCs w:val="21"/>
        </w:rPr>
        <w:t>, busca</w:t>
      </w:r>
      <w:r w:rsidR="003F4537">
        <w:rPr>
          <w:rFonts w:ascii="Century Gothic" w:eastAsia="Quattrocento Sans" w:hAnsi="Century Gothic" w:cs="Segoe UI"/>
          <w:sz w:val="21"/>
          <w:szCs w:val="21"/>
        </w:rPr>
        <w:t>n</w:t>
      </w:r>
      <w:r w:rsidRPr="00055FC5">
        <w:rPr>
          <w:rFonts w:ascii="Century Gothic" w:eastAsia="Quattrocento Sans" w:hAnsi="Century Gothic" w:cs="Segoe UI"/>
          <w:sz w:val="21"/>
          <w:szCs w:val="21"/>
        </w:rPr>
        <w:t xml:space="preserve"> que los delitos de gravedad extrema, como los delitos cometidos en contra de la libertad, integridad y formación sexual de los menores de edad, los cuales actualmente tienen la oportunidad jurídica de la extinción de la acción penal, a través de la figura de la prescripción; no queden en la impunidad. Es totalmente inaceptable que aun cuando el Estado Social de Derecho Colombiano se acoge a los tratados internacionales en pro de la protección de los niños, niñas y adolescentes, como sujetos de especial protección a quien se les debe garantizar su interés superior; el ordenamiento jurídico interno del Estado, permita que delitos de esta categoría prescriban.  </w:t>
      </w:r>
    </w:p>
    <w:p w14:paraId="575220CE" w14:textId="0F642791" w:rsidR="004D47EC" w:rsidRDefault="004D47EC" w:rsidP="004D47EC">
      <w:pPr>
        <w:jc w:val="both"/>
        <w:rPr>
          <w:rFonts w:ascii="Century Gothic" w:eastAsia="Quattrocento Sans" w:hAnsi="Century Gothic" w:cs="Segoe UI"/>
          <w:sz w:val="21"/>
          <w:szCs w:val="21"/>
        </w:rPr>
      </w:pPr>
    </w:p>
    <w:p w14:paraId="0FD5A1D3" w14:textId="021870F0" w:rsidR="008F3368" w:rsidRDefault="008F3368" w:rsidP="00231373">
      <w:pPr>
        <w:pStyle w:val="Prrafodelista"/>
        <w:numPr>
          <w:ilvl w:val="0"/>
          <w:numId w:val="37"/>
        </w:numPr>
        <w:pBdr>
          <w:top w:val="nil"/>
          <w:left w:val="nil"/>
          <w:bottom w:val="nil"/>
          <w:right w:val="nil"/>
          <w:between w:val="nil"/>
        </w:pBdr>
        <w:jc w:val="center"/>
        <w:rPr>
          <w:rFonts w:ascii="Century Gothic" w:eastAsia="Quattrocento Sans" w:hAnsi="Century Gothic" w:cs="Segoe UI"/>
          <w:b/>
          <w:color w:val="000000"/>
          <w:sz w:val="21"/>
          <w:szCs w:val="21"/>
        </w:rPr>
      </w:pPr>
      <w:r>
        <w:rPr>
          <w:rFonts w:ascii="Century Gothic" w:eastAsia="Quattrocento Sans" w:hAnsi="Century Gothic" w:cs="Segoe UI"/>
          <w:b/>
          <w:color w:val="000000"/>
          <w:sz w:val="21"/>
          <w:szCs w:val="21"/>
        </w:rPr>
        <w:t>AUDIENCIA PUBLICA.</w:t>
      </w:r>
    </w:p>
    <w:p w14:paraId="7EB15198" w14:textId="6CA88495" w:rsid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Pr>
          <w:rFonts w:ascii="Century Gothic" w:eastAsia="Quattrocento Sans" w:hAnsi="Century Gothic" w:cs="Segoe UI"/>
          <w:color w:val="000000"/>
          <w:sz w:val="21"/>
          <w:szCs w:val="21"/>
        </w:rPr>
        <w:t xml:space="preserve">El día miércoles 25 de septiembre de 2019 a las 9:00 am en el salón de sesiones de la Comisión Primera Constitucional de la Cámara de Representantes “Roberto Camacho Weverberg” se llevó a cabo audiencia pública sobre el Proyecto de Ley no. 125/2019 Cámara </w:t>
      </w:r>
      <w:r w:rsidRPr="008F3368">
        <w:rPr>
          <w:rFonts w:ascii="Century Gothic" w:eastAsia="Quattrocento Sans" w:hAnsi="Century Gothic" w:cs="Segoe UI"/>
          <w:i/>
          <w:color w:val="000000"/>
          <w:sz w:val="21"/>
          <w:szCs w:val="21"/>
        </w:rPr>
        <w:t>“Por la cual se declara imprescriptible la acción penal en caso de delitos contra la libertad, integridad y formación sexuales, o el delito consagrado en el artículo 237 de la Ley 599 de 2000 (No más silencio) y se dictan otras disposiciones”</w:t>
      </w:r>
      <w:r>
        <w:rPr>
          <w:rFonts w:ascii="Century Gothic" w:eastAsia="Quattrocento Sans" w:hAnsi="Century Gothic" w:cs="Segoe UI"/>
          <w:color w:val="000000"/>
          <w:sz w:val="21"/>
          <w:szCs w:val="21"/>
        </w:rPr>
        <w:t xml:space="preserve"> acumulado con el Proyecto de Ley No. 180 de 2019 Cámara </w:t>
      </w:r>
      <w:r w:rsidRPr="008F3368">
        <w:rPr>
          <w:rFonts w:ascii="Century Gothic" w:eastAsia="Quattrocento Sans" w:hAnsi="Century Gothic" w:cs="Segoe UI"/>
          <w:i/>
          <w:color w:val="000000"/>
          <w:sz w:val="21"/>
          <w:szCs w:val="21"/>
        </w:rPr>
        <w:t>“Por medio de la cual se declara imprescriptible la acción penal para los delitos contra la libertad, integridad y formación sexual cometidos en menores de edad”</w:t>
      </w:r>
      <w:r>
        <w:rPr>
          <w:rFonts w:ascii="Century Gothic" w:eastAsia="Quattrocento Sans" w:hAnsi="Century Gothic" w:cs="Segoe UI"/>
          <w:color w:val="000000"/>
          <w:sz w:val="21"/>
          <w:szCs w:val="21"/>
        </w:rPr>
        <w:t>, en ejercicio del derecho consagrado en el artículo 230 de la Ley 5ta de 1992.</w:t>
      </w:r>
    </w:p>
    <w:p w14:paraId="0BB97BB3" w14:textId="65CB349A" w:rsid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2049B9BB" w14:textId="3A9C2F90" w:rsid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Pr>
          <w:rFonts w:ascii="Century Gothic" w:eastAsia="Quattrocento Sans" w:hAnsi="Century Gothic" w:cs="Segoe UI"/>
          <w:color w:val="000000"/>
          <w:sz w:val="21"/>
          <w:szCs w:val="21"/>
          <w:lang w:val="es-CO"/>
        </w:rPr>
        <w:t>En el desarrollo de la audiencia intervino d</w:t>
      </w:r>
      <w:r w:rsidRPr="008F3368">
        <w:rPr>
          <w:rFonts w:ascii="Century Gothic" w:eastAsia="Quattrocento Sans" w:hAnsi="Century Gothic" w:cs="Segoe UI"/>
          <w:color w:val="000000"/>
          <w:sz w:val="21"/>
          <w:szCs w:val="21"/>
          <w:lang w:val="es-CO"/>
        </w:rPr>
        <w:t xml:space="preserve">e parte de la </w:t>
      </w:r>
      <w:r w:rsidRPr="00B07C98">
        <w:rPr>
          <w:rFonts w:ascii="Century Gothic" w:eastAsia="Quattrocento Sans" w:hAnsi="Century Gothic" w:cs="Segoe UI"/>
          <w:b/>
          <w:color w:val="000000"/>
          <w:sz w:val="21"/>
          <w:szCs w:val="21"/>
          <w:lang w:val="es-CO"/>
        </w:rPr>
        <w:t>Alianza por la Niñez Colombiana</w:t>
      </w:r>
      <w:r w:rsidRPr="008F3368">
        <w:rPr>
          <w:rFonts w:ascii="Century Gothic" w:eastAsia="Quattrocento Sans" w:hAnsi="Century Gothic" w:cs="Segoe UI"/>
          <w:color w:val="000000"/>
          <w:sz w:val="21"/>
          <w:szCs w:val="21"/>
          <w:lang w:val="es-CO"/>
        </w:rPr>
        <w:t xml:space="preserve"> la Dr. Gloria Carvalho quien es la Secretaria Ejecutiva de dicha organización y realizó las siguientes observaciones:</w:t>
      </w:r>
    </w:p>
    <w:p w14:paraId="617582C2" w14:textId="77777777" w:rsidR="006E4654" w:rsidRPr="008F3368" w:rsidRDefault="006E4654"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6F17F35D" w14:textId="7445A8FB" w:rsid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8F3368">
        <w:rPr>
          <w:rFonts w:ascii="Century Gothic" w:eastAsia="Quattrocento Sans" w:hAnsi="Century Gothic" w:cs="Segoe UI"/>
          <w:color w:val="000000"/>
          <w:sz w:val="21"/>
          <w:szCs w:val="21"/>
        </w:rPr>
        <w:t xml:space="preserve">La </w:t>
      </w:r>
      <w:r w:rsidRPr="00B07C98">
        <w:rPr>
          <w:rFonts w:ascii="Century Gothic" w:eastAsia="Quattrocento Sans" w:hAnsi="Century Gothic" w:cs="Segoe UI"/>
          <w:color w:val="000000"/>
          <w:sz w:val="21"/>
          <w:szCs w:val="21"/>
        </w:rPr>
        <w:t>Alianza por la Niñez Colombiana</w:t>
      </w:r>
      <w:r w:rsidRPr="008F3368">
        <w:rPr>
          <w:rFonts w:ascii="Century Gothic" w:eastAsia="Quattrocento Sans" w:hAnsi="Century Gothic" w:cs="Segoe UI"/>
          <w:color w:val="000000"/>
          <w:sz w:val="21"/>
          <w:szCs w:val="21"/>
        </w:rPr>
        <w:t xml:space="preserve"> respalda el Proyecto de Ley No. 125 de 2019, que entra a primer debate en la Comisión Primera de la Cámara de Representantes, y que busca que se declaren imprescriptibles los delitos sexuales cometidos contra niñas, niños y adolescentes.</w:t>
      </w:r>
      <w:r w:rsidR="00B07C98">
        <w:rPr>
          <w:rFonts w:ascii="Century Gothic" w:eastAsia="Quattrocento Sans" w:hAnsi="Century Gothic" w:cs="Segoe UI"/>
          <w:color w:val="000000"/>
          <w:sz w:val="21"/>
          <w:szCs w:val="21"/>
        </w:rPr>
        <w:t xml:space="preserve"> </w:t>
      </w:r>
      <w:r w:rsidRPr="008F3368">
        <w:rPr>
          <w:rFonts w:ascii="Century Gothic" w:eastAsia="Quattrocento Sans" w:hAnsi="Century Gothic" w:cs="Segoe UI"/>
          <w:color w:val="000000"/>
          <w:sz w:val="21"/>
          <w:szCs w:val="21"/>
        </w:rPr>
        <w:t xml:space="preserve">Cifras recientes evidencian lo preocupante de este flagelo. Entre enero de 2015 y junio de 2019 se registraron 91.982 casos de violencia sexual en contra de niñas, niños y adolescentes en Colombia, según datos del Instituto Nacional de Medicina Legal y Ciencias Forenses. </w:t>
      </w:r>
    </w:p>
    <w:p w14:paraId="04289DFE" w14:textId="77777777" w:rsidR="008F3368" w:rsidRP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04E030B3" w14:textId="6433B476" w:rsid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 xml:space="preserve">Así, en 2015 se presentaron 19.181 casos, para un total de 53 diarios; en 2016 fueron 18.416 (50 por día); mientras que en 2017 subieron a 20.663 casos (57 al día). El año pasado los casos llegaron a 22.788, para un total de 62 registros diarios, y a junio del año en curso ya </w:t>
      </w:r>
      <w:r w:rsidRPr="008F3368">
        <w:rPr>
          <w:rFonts w:ascii="Century Gothic" w:eastAsia="Quattrocento Sans" w:hAnsi="Century Gothic" w:cs="Segoe UI"/>
          <w:color w:val="000000"/>
          <w:sz w:val="21"/>
          <w:szCs w:val="21"/>
          <w:lang w:val="es-CO"/>
        </w:rPr>
        <w:lastRenderedPageBreak/>
        <w:t>iban 10.934, es decir, un promedio de 61 casos por día, lo que señala que al final de 2019, ese número podría estar entre los más altos de los últimos cinco años.</w:t>
      </w:r>
    </w:p>
    <w:p w14:paraId="2E9F0D9A" w14:textId="77777777" w:rsidR="008F3368" w:rsidRP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27B8E486" w14:textId="39B23A3E" w:rsid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El Departamento Administrativo Nacional de Estadística (DANE), por su parte, señaló que durante el mismo periodo de estudio (enero 2015 – junio 2019) los casos de madres entre los 10 y los 14 años fueron 23.923, siendo 2015 el más alto con 6.045 eventos. Para este punto, cabe precisar que, según el Código Penal Colombiano, Ley 599 de 2000 advierte que es un delito cualquier acto sexual con menor de 14 años por lo tanto un embarazo en esta etapa de la vida de la niña, se establece como abuso sexual.</w:t>
      </w:r>
    </w:p>
    <w:p w14:paraId="05713CBC" w14:textId="77777777" w:rsidR="008F3368" w:rsidRP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7B23A392" w14:textId="77504757" w:rsid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8F3368">
        <w:rPr>
          <w:rFonts w:ascii="Century Gothic" w:eastAsia="Quattrocento Sans" w:hAnsi="Century Gothic" w:cs="Segoe UI"/>
          <w:color w:val="000000"/>
          <w:sz w:val="21"/>
          <w:szCs w:val="21"/>
        </w:rPr>
        <w:t>Justamente, según Medicina Legal, la edad más afectada en los años de análisis, con el 44 por ciento de los casos, es la que oscila entre los 10 y los 14, el mismo que se identifica como el rango más afectado en las niñas. Mientras que en los niños el rango de mayor afectación está entre los 5 y los 9.</w:t>
      </w:r>
    </w:p>
    <w:p w14:paraId="5DCDC2AC" w14:textId="77777777" w:rsidR="008F3368" w:rsidRP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3E26A388" w14:textId="32BC96CE" w:rsid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8F3368">
        <w:rPr>
          <w:rFonts w:ascii="Century Gothic" w:eastAsia="Quattrocento Sans" w:hAnsi="Century Gothic" w:cs="Segoe UI"/>
          <w:color w:val="000000"/>
          <w:sz w:val="21"/>
          <w:szCs w:val="21"/>
        </w:rPr>
        <w:t>También se evidencia que los principales agresores se presentan con un 46% en parientes y seguido con un 22 % en conocidos, luego en un 14% en otro y un 11% en amigos.</w:t>
      </w:r>
      <w:r w:rsidR="00635B07">
        <w:rPr>
          <w:rFonts w:ascii="Century Gothic" w:eastAsia="Quattrocento Sans" w:hAnsi="Century Gothic" w:cs="Segoe UI"/>
          <w:color w:val="000000"/>
          <w:sz w:val="21"/>
          <w:szCs w:val="21"/>
        </w:rPr>
        <w:t xml:space="preserve"> </w:t>
      </w:r>
      <w:r w:rsidRPr="008F3368">
        <w:rPr>
          <w:rFonts w:ascii="Century Gothic" w:eastAsia="Quattrocento Sans" w:hAnsi="Century Gothic" w:cs="Segoe UI"/>
          <w:color w:val="000000"/>
          <w:sz w:val="21"/>
          <w:szCs w:val="21"/>
        </w:rPr>
        <w:t>Ante esta situación se hace pertinente esta ley teniendo encuentra que se cuenta con alrededor de un 97 % de Impunidad en los victimarios de esta violencia hacia niñas, niños y adolescentes.</w:t>
      </w:r>
    </w:p>
    <w:p w14:paraId="4EA6FD4D" w14:textId="77777777" w:rsidR="008F3368" w:rsidRP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p>
    <w:p w14:paraId="6B5C6C53" w14:textId="4638EE0B" w:rsidR="008F3368" w:rsidRDefault="008F3368" w:rsidP="00985953">
      <w:pPr>
        <w:pBdr>
          <w:top w:val="nil"/>
          <w:left w:val="nil"/>
          <w:bottom w:val="nil"/>
          <w:right w:val="nil"/>
          <w:between w:val="nil"/>
        </w:pBdr>
        <w:spacing w:line="276" w:lineRule="auto"/>
        <w:jc w:val="both"/>
        <w:rPr>
          <w:rFonts w:ascii="Century Gothic" w:eastAsia="Quattrocento Sans" w:hAnsi="Century Gothic" w:cs="Segoe UI"/>
          <w:color w:val="000000"/>
          <w:sz w:val="21"/>
          <w:szCs w:val="21"/>
        </w:rPr>
      </w:pPr>
      <w:r w:rsidRPr="008F3368">
        <w:rPr>
          <w:rFonts w:ascii="Century Gothic" w:eastAsia="Quattrocento Sans" w:hAnsi="Century Gothic" w:cs="Segoe UI"/>
          <w:color w:val="000000"/>
          <w:sz w:val="21"/>
          <w:szCs w:val="21"/>
        </w:rPr>
        <w:t>Al respecto, vale la pena recordar que una de las principales recomendaciones del Comité de los Derechos del Niño (CDN) al Estado colombiano en 2015 es la lucha contra la impunidad, cuando dice “…investigar de forma proactiva todos los casos, incluidos los que afecten a niñas indígenas, enjuiciar a los presuntos agresores, aplicar las sanciones correspondientes…”, razón por la que la Alianza encuentra esta iniciativa de gran importancia para garantizar que las niñas, niños o adolescentes que hayan sido víctimas de estos delitos nunca pierdan la oportunidad de que el victimario sea investigado, juzgado y sancionado.</w:t>
      </w:r>
    </w:p>
    <w:p w14:paraId="6B731864" w14:textId="182BFEBD" w:rsid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60A2372D" w14:textId="487C9894"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Pr>
          <w:rFonts w:ascii="Century Gothic" w:eastAsia="Quattrocento Sans" w:hAnsi="Century Gothic" w:cs="Segoe UI"/>
          <w:color w:val="000000"/>
          <w:sz w:val="21"/>
          <w:szCs w:val="21"/>
          <w:lang w:val="es-CO"/>
        </w:rPr>
        <w:t>Por parte</w:t>
      </w:r>
      <w:r w:rsidR="00B64B7F">
        <w:rPr>
          <w:rFonts w:ascii="Century Gothic" w:eastAsia="Quattrocento Sans" w:hAnsi="Century Gothic" w:cs="Segoe UI"/>
          <w:color w:val="000000"/>
          <w:sz w:val="21"/>
          <w:szCs w:val="21"/>
          <w:lang w:val="es-CO"/>
        </w:rPr>
        <w:t xml:space="preserve"> de </w:t>
      </w:r>
      <w:r w:rsidR="00B64B7F" w:rsidRPr="00B07C98">
        <w:rPr>
          <w:rFonts w:ascii="Century Gothic" w:eastAsia="Quattrocento Sans" w:hAnsi="Century Gothic" w:cs="Segoe UI"/>
          <w:b/>
          <w:color w:val="000000"/>
          <w:sz w:val="21"/>
          <w:szCs w:val="21"/>
          <w:lang w:val="es-CO"/>
        </w:rPr>
        <w:t>Save The Children</w:t>
      </w:r>
      <w:r w:rsidR="00B64B7F">
        <w:rPr>
          <w:rFonts w:ascii="Century Gothic" w:eastAsia="Quattrocento Sans" w:hAnsi="Century Gothic" w:cs="Segoe UI"/>
          <w:color w:val="000000"/>
          <w:sz w:val="21"/>
          <w:szCs w:val="21"/>
          <w:lang w:val="es-CO"/>
        </w:rPr>
        <w:t xml:space="preserve"> intervino Marcela Campos </w:t>
      </w:r>
      <w:r>
        <w:rPr>
          <w:rFonts w:ascii="Century Gothic" w:eastAsia="Quattrocento Sans" w:hAnsi="Century Gothic" w:cs="Segoe UI"/>
          <w:color w:val="000000"/>
          <w:sz w:val="21"/>
          <w:szCs w:val="21"/>
          <w:lang w:val="es-CO"/>
        </w:rPr>
        <w:t xml:space="preserve">manifestando </w:t>
      </w:r>
      <w:r w:rsidR="00120D48">
        <w:rPr>
          <w:rFonts w:ascii="Century Gothic" w:eastAsia="Quattrocento Sans" w:hAnsi="Century Gothic" w:cs="Segoe UI"/>
          <w:color w:val="000000"/>
          <w:sz w:val="21"/>
          <w:szCs w:val="21"/>
          <w:lang w:val="es-CO"/>
        </w:rPr>
        <w:t>que,</w:t>
      </w:r>
      <w:r>
        <w:rPr>
          <w:rFonts w:ascii="Century Gothic" w:eastAsia="Quattrocento Sans" w:hAnsi="Century Gothic" w:cs="Segoe UI"/>
          <w:color w:val="000000"/>
          <w:sz w:val="21"/>
          <w:szCs w:val="21"/>
          <w:lang w:val="es-CO"/>
        </w:rPr>
        <w:t xml:space="preserve"> c</w:t>
      </w:r>
      <w:r w:rsidRPr="008F3368">
        <w:rPr>
          <w:rFonts w:ascii="Century Gothic" w:eastAsia="Quattrocento Sans" w:hAnsi="Century Gothic" w:cs="Segoe UI"/>
          <w:color w:val="000000"/>
          <w:sz w:val="21"/>
          <w:szCs w:val="21"/>
          <w:lang w:val="es-CO"/>
        </w:rPr>
        <w:t>omo país, contamos con múltiples leyes como Ley 1257 de 2008, la Ley 1448 de 2011 y la Ley 1719 de 2014 frente a la violencia sexual. Igualmente, el Código de infancia y Adolescencia o Ley 1098 de 2006, Ley 1446 de 2007 entre otras. Sin embargo, como país, no poseemos una protección para que niños y niñas que han sido agredidos sexualmente, atacados en su dignidad e intimidados, puedan denunciar los delitos, aún después de 10 a 15 años.</w:t>
      </w:r>
    </w:p>
    <w:p w14:paraId="4A2B93C9"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70B8DCAF" w14:textId="74263932"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Como Save the Children, consideramos que la ampliación de los plazos de prescripción frente a delitos sexuales sobre los niños y niñas o sobre personas que, ya siendo mayores, fueron abusadas cuando fueron niñas o niños, es sumamente importantes, porque las víctimas suelen tardar en procesar los abusos y en ser capaces de hablar de ello, por lo que en muchas ocasiones los culpables quedaban indemnes.</w:t>
      </w:r>
    </w:p>
    <w:p w14:paraId="7EF71D28"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lastRenderedPageBreak/>
        <w:t xml:space="preserve">En el país, casi el 90% de los delitos sexuales se da contra menores de 18 años. El 95% de los casos está en indagación, lo que quiere decir que después de la denuncia no ha pasado absolutamente nada, que implica que en los pocos casos denunciados solo se da un 5% de probabilidad de que él o la agresora sea juzgados. </w:t>
      </w:r>
    </w:p>
    <w:p w14:paraId="692683D6"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059C8FC6"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Se estima, que a pesar de las leyes y mecanismos existentes frente a la violencia sexual contra niños y niñas y en general, el porcentaje de denuncia es muy baja (entre el 15 y el 20%) por múltiples factores como que aún es limitado el número de denuncias realizadas directamente por niños y niñas frente a agresores que pertenecen a sus mismas familias, el dominio económico del varón muchas veces hace que las madres convenzan a sus hijos de no denunciar, las intimidaciones a nuevos abusos, quitarles la vida o asesinar a sus familias, falta de confianza en el sistema judicial, son algunas de las múltiples causas que hacen que no se dé la denuncia en estos casos.</w:t>
      </w:r>
    </w:p>
    <w:p w14:paraId="6244490A"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70B2E19E"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 xml:space="preserve">Los factores personales e interpersonales, especialmente la influencia del entorno familiar de la víctima, y la visión que tiene el afectado del sistema de justicia penal y del de restablecimiento de derechos son factores determinantes para la interposición de una denuncia. </w:t>
      </w:r>
    </w:p>
    <w:p w14:paraId="19865433"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5158EE49"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Otro aspecto que reduce dicha denuncia corresponde a las practica re-victimizantes hacia los afectados que aún se presentan a pesar de la existencia de procedimientos establecidos, principalmente en las zonas rurales, que incluso muchas veces se presentan en las zonas urbanas, desincentivan la denuncia y hacen que los delitos cometidos contra la integridad sexual de los niños y niñas queden impunes.</w:t>
      </w:r>
    </w:p>
    <w:p w14:paraId="5BBA447A"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5E59C118" w14:textId="50477201" w:rsid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 xml:space="preserve">Por otra parte, los largo procesos y la falta de resolución a los mismos, hacen que muchas veces las personas opten por no denunciar a pesar que “La investigación debe realizarse de forma inmediata, exhaustiva, seria e imparcial, en un plazo razonable y bajo el impulso de los funcionarios judiciales, quienes deben utilizar plenamente sus facultades oficiosas”, según lo establece un fallo de la Corte Constitucional.  </w:t>
      </w:r>
    </w:p>
    <w:p w14:paraId="2F708C5C" w14:textId="77777777" w:rsidR="00B07C98" w:rsidRPr="008F3368" w:rsidRDefault="00B07C98" w:rsidP="00B07C98">
      <w:pPr>
        <w:pBdr>
          <w:top w:val="nil"/>
          <w:left w:val="nil"/>
          <w:bottom w:val="nil"/>
          <w:right w:val="nil"/>
          <w:between w:val="nil"/>
        </w:pBdr>
        <w:jc w:val="both"/>
        <w:rPr>
          <w:rFonts w:ascii="Century Gothic" w:eastAsia="Quattrocento Sans" w:hAnsi="Century Gothic" w:cs="Segoe UI"/>
          <w:color w:val="000000"/>
          <w:sz w:val="21"/>
          <w:szCs w:val="21"/>
          <w:lang w:val="es-CO"/>
        </w:rPr>
      </w:pPr>
    </w:p>
    <w:p w14:paraId="3451988D"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Es importante tener en cuenta que los agresores en este tipo de delitos usualmente amenazan o intimidad de asesinarle, hacerle daño o asesinar a su familia, por lo que los niños y niñas muchas veces guardan silencio. Mucho más si no existen estructuras familiares de confianza y donde el dialogo no hace parte de la cultura familiar, lo que hace que se guarde silencio por muchos años o por toda la vida. Tener una ley que permita que la denuncia se realice una vez la persona sea adulta hasta un plazo no menor de 50 años posterior a lo ocurrido y con el desarrollo de las acciones forenses psicológicas pertinente.</w:t>
      </w:r>
    </w:p>
    <w:p w14:paraId="3956231A"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388D7A08"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 xml:space="preserve">En síntesis, las víctimas de violencia sexual tienen derecho a: una vida libre de violencias; verdad; justicia y acceso a recursos judiciales efectivos; información; respeto y protección de su intimidad y privacidad; igualdad y no discriminación; dignidad y atención no </w:t>
      </w:r>
      <w:r w:rsidRPr="008F3368">
        <w:rPr>
          <w:rFonts w:ascii="Century Gothic" w:eastAsia="Quattrocento Sans" w:hAnsi="Century Gothic" w:cs="Segoe UI"/>
          <w:color w:val="000000"/>
          <w:sz w:val="21"/>
          <w:szCs w:val="21"/>
          <w:lang w:val="es-CO"/>
        </w:rPr>
        <w:lastRenderedPageBreak/>
        <w:t>revictimizante; autonomía y libre consentimiento; participación en el proceso penal, acompañamiento y asistencia técnica legal; seguridad personal y protección; atención integral, inmediata, gratuita y especializada.</w:t>
      </w:r>
    </w:p>
    <w:p w14:paraId="268F59BA" w14:textId="77777777" w:rsidR="008F3368" w:rsidRPr="008F3368"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6B77DA81" w14:textId="59E494B3" w:rsidR="00B64B7F" w:rsidRDefault="008F3368"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sidRPr="008F3368">
        <w:rPr>
          <w:rFonts w:ascii="Century Gothic" w:eastAsia="Quattrocento Sans" w:hAnsi="Century Gothic" w:cs="Segoe UI"/>
          <w:color w:val="000000"/>
          <w:sz w:val="21"/>
          <w:szCs w:val="21"/>
          <w:lang w:val="es-CO"/>
        </w:rPr>
        <w:t>Es obligación del Estado garantizar la investigación y el proceso sin esperar que sea la víctima o sus familiares, quienes hagan aportaciones de eleme</w:t>
      </w:r>
      <w:r w:rsidR="00B07C98">
        <w:rPr>
          <w:rFonts w:ascii="Century Gothic" w:eastAsia="Quattrocento Sans" w:hAnsi="Century Gothic" w:cs="Segoe UI"/>
          <w:color w:val="000000"/>
          <w:sz w:val="21"/>
          <w:szCs w:val="21"/>
          <w:lang w:val="es-CO"/>
        </w:rPr>
        <w:t xml:space="preserve">ntos probatorios sobre el caso. </w:t>
      </w:r>
      <w:r w:rsidRPr="008F3368">
        <w:rPr>
          <w:rFonts w:ascii="Century Gothic" w:eastAsia="Quattrocento Sans" w:hAnsi="Century Gothic" w:cs="Segoe UI"/>
          <w:color w:val="000000"/>
          <w:sz w:val="21"/>
          <w:szCs w:val="21"/>
          <w:lang w:val="es-CO"/>
        </w:rPr>
        <w:t>Es importante también, tener en cuenta la obligación del Estado del restablecimiento de derechos y en el ámbito de la salud física, mental, sexual y reproductiva; y reparación integral.</w:t>
      </w:r>
    </w:p>
    <w:p w14:paraId="76EA7AE0" w14:textId="1C78DEC9" w:rsidR="00B64B7F" w:rsidRDefault="00B64B7F"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3E0C3666" w14:textId="0C0AAC6C" w:rsidR="00582D40" w:rsidRDefault="00B64B7F"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Pr>
          <w:rFonts w:ascii="Century Gothic" w:eastAsia="Quattrocento Sans" w:hAnsi="Century Gothic" w:cs="Segoe UI"/>
          <w:color w:val="000000"/>
          <w:sz w:val="21"/>
          <w:szCs w:val="21"/>
          <w:lang w:val="es-CO"/>
        </w:rPr>
        <w:t>En el mismo se sentido se pronunciaron apoyando el Proyecto de Ley</w:t>
      </w:r>
      <w:r w:rsidR="00582D40">
        <w:rPr>
          <w:rFonts w:ascii="Century Gothic" w:eastAsia="Quattrocento Sans" w:hAnsi="Century Gothic" w:cs="Segoe UI"/>
          <w:color w:val="000000"/>
          <w:sz w:val="21"/>
          <w:szCs w:val="21"/>
          <w:lang w:val="es-CO"/>
        </w:rPr>
        <w:t xml:space="preserve"> el Dr.</w:t>
      </w:r>
      <w:r>
        <w:rPr>
          <w:rFonts w:ascii="Century Gothic" w:eastAsia="Quattrocento Sans" w:hAnsi="Century Gothic" w:cs="Segoe UI"/>
          <w:color w:val="000000"/>
          <w:sz w:val="21"/>
          <w:szCs w:val="21"/>
          <w:lang w:val="es-CO"/>
        </w:rPr>
        <w:t xml:space="preserve"> </w:t>
      </w:r>
      <w:r w:rsidR="00582D40">
        <w:rPr>
          <w:rFonts w:ascii="Century Gothic" w:eastAsia="Quattrocento Sans" w:hAnsi="Century Gothic" w:cs="Segoe UI"/>
          <w:color w:val="000000"/>
          <w:sz w:val="21"/>
          <w:szCs w:val="21"/>
          <w:lang w:val="es-CO"/>
        </w:rPr>
        <w:t xml:space="preserve">Nelson Rivera de la </w:t>
      </w:r>
      <w:r w:rsidR="00582D40" w:rsidRPr="00B07C98">
        <w:rPr>
          <w:rFonts w:ascii="Century Gothic" w:eastAsia="Quattrocento Sans" w:hAnsi="Century Gothic" w:cs="Segoe UI"/>
          <w:b/>
          <w:color w:val="000000"/>
          <w:sz w:val="21"/>
          <w:szCs w:val="21"/>
          <w:lang w:val="es-CO"/>
        </w:rPr>
        <w:t>Fundación Renacer Colombia</w:t>
      </w:r>
      <w:r w:rsidR="00582D40">
        <w:rPr>
          <w:rFonts w:ascii="Century Gothic" w:eastAsia="Quattrocento Sans" w:hAnsi="Century Gothic" w:cs="Segoe UI"/>
          <w:color w:val="000000"/>
          <w:sz w:val="21"/>
          <w:szCs w:val="21"/>
          <w:lang w:val="es-CO"/>
        </w:rPr>
        <w:t xml:space="preserve"> y la Dr. Ángela Ramírez, Directora de Justicia Transicional, delegada el </w:t>
      </w:r>
      <w:r w:rsidR="00582D40" w:rsidRPr="00B07C98">
        <w:rPr>
          <w:rFonts w:ascii="Century Gothic" w:eastAsia="Quattrocento Sans" w:hAnsi="Century Gothic" w:cs="Segoe UI"/>
          <w:b/>
          <w:color w:val="000000"/>
          <w:sz w:val="21"/>
          <w:szCs w:val="21"/>
          <w:lang w:val="es-CO"/>
        </w:rPr>
        <w:t>Ministerio de Justicia</w:t>
      </w:r>
      <w:r w:rsidR="00582D40">
        <w:rPr>
          <w:rFonts w:ascii="Century Gothic" w:eastAsia="Quattrocento Sans" w:hAnsi="Century Gothic" w:cs="Segoe UI"/>
          <w:color w:val="000000"/>
          <w:sz w:val="21"/>
          <w:szCs w:val="21"/>
          <w:lang w:val="es-CO"/>
        </w:rPr>
        <w:t xml:space="preserve"> para la audiencia pública.</w:t>
      </w:r>
    </w:p>
    <w:p w14:paraId="43730034" w14:textId="77777777" w:rsidR="00B64B7F" w:rsidRDefault="00B64B7F"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p>
    <w:p w14:paraId="74F1EA7E" w14:textId="56C3E6DB" w:rsidR="00B64B7F" w:rsidRDefault="00B64B7F" w:rsidP="00635B07">
      <w:pPr>
        <w:pBdr>
          <w:top w:val="nil"/>
          <w:left w:val="nil"/>
          <w:bottom w:val="nil"/>
          <w:right w:val="nil"/>
          <w:between w:val="nil"/>
        </w:pBdr>
        <w:spacing w:line="276" w:lineRule="auto"/>
        <w:jc w:val="both"/>
        <w:rPr>
          <w:rFonts w:ascii="Century Gothic" w:eastAsia="Quattrocento Sans" w:hAnsi="Century Gothic" w:cs="Segoe UI"/>
          <w:color w:val="000000"/>
          <w:sz w:val="21"/>
          <w:szCs w:val="21"/>
          <w:lang w:val="es-CO"/>
        </w:rPr>
      </w:pPr>
      <w:r>
        <w:rPr>
          <w:rFonts w:ascii="Century Gothic" w:eastAsia="Quattrocento Sans" w:hAnsi="Century Gothic" w:cs="Segoe UI"/>
          <w:color w:val="000000"/>
          <w:sz w:val="21"/>
          <w:szCs w:val="21"/>
        </w:rPr>
        <w:t>Finalmente</w:t>
      </w:r>
      <w:r w:rsidRPr="008F3368">
        <w:rPr>
          <w:rFonts w:ascii="Century Gothic" w:eastAsia="Quattrocento Sans" w:hAnsi="Century Gothic" w:cs="Segoe UI"/>
          <w:color w:val="000000"/>
          <w:sz w:val="21"/>
          <w:szCs w:val="21"/>
        </w:rPr>
        <w:t xml:space="preserve">, el Dr. Fidel Alejandro Ruiz Caicedo, asesor nacional de abogacía e incidencia política de la </w:t>
      </w:r>
      <w:r w:rsidRPr="00B07C98">
        <w:rPr>
          <w:rFonts w:ascii="Century Gothic" w:eastAsia="Quattrocento Sans" w:hAnsi="Century Gothic" w:cs="Segoe UI"/>
          <w:b/>
          <w:color w:val="000000"/>
          <w:sz w:val="21"/>
          <w:szCs w:val="21"/>
        </w:rPr>
        <w:t>ONG Aldeas Infantiles SOS</w:t>
      </w:r>
      <w:r w:rsidRPr="008F3368">
        <w:rPr>
          <w:rFonts w:ascii="Century Gothic" w:eastAsia="Quattrocento Sans" w:hAnsi="Century Gothic" w:cs="Segoe UI"/>
          <w:color w:val="000000"/>
          <w:sz w:val="21"/>
          <w:szCs w:val="21"/>
        </w:rPr>
        <w:t xml:space="preserve"> manifestó el apoyo de la organización al Proyecto de Ley y sugirió que se incluyeran dentro de la iniciativa</w:t>
      </w:r>
      <w:r w:rsidRPr="008F3368">
        <w:rPr>
          <w:rFonts w:ascii="Century Gothic" w:eastAsia="Quattrocento Sans" w:hAnsi="Century Gothic" w:cs="Segoe UI"/>
          <w:color w:val="000000"/>
          <w:sz w:val="21"/>
          <w:szCs w:val="21"/>
          <w:lang w:val="es-CO"/>
        </w:rPr>
        <w:t xml:space="preserve"> los tipos penales creados en virtud de la ley 1719 de 2014, como son: acceso carnal abusivo en persona protegida menor de catorce años, actos sexuales con persona protegida menor de catorce años, trata de personas en persona protegida con fines de explotación sexual, esterilización forzada en persona protegida, desnudez forzada en persona protegida, aborto forzado en persona protegida.</w:t>
      </w:r>
    </w:p>
    <w:p w14:paraId="468A35DA" w14:textId="77777777" w:rsidR="009102BF" w:rsidRPr="008F3368" w:rsidRDefault="009102BF" w:rsidP="008F3368">
      <w:pPr>
        <w:pBdr>
          <w:top w:val="nil"/>
          <w:left w:val="nil"/>
          <w:bottom w:val="nil"/>
          <w:right w:val="nil"/>
          <w:between w:val="nil"/>
        </w:pBdr>
        <w:rPr>
          <w:rFonts w:ascii="Century Gothic" w:eastAsia="Quattrocento Sans" w:hAnsi="Century Gothic" w:cs="Segoe UI"/>
          <w:b/>
          <w:color w:val="000000"/>
          <w:sz w:val="21"/>
          <w:szCs w:val="21"/>
        </w:rPr>
      </w:pPr>
    </w:p>
    <w:p w14:paraId="322E0220" w14:textId="77777777" w:rsidR="009102BF" w:rsidRPr="004D1D8B" w:rsidRDefault="009102BF" w:rsidP="009102BF">
      <w:pPr>
        <w:pStyle w:val="Prrafodelista"/>
        <w:numPr>
          <w:ilvl w:val="0"/>
          <w:numId w:val="37"/>
        </w:numPr>
        <w:pBdr>
          <w:top w:val="nil"/>
          <w:left w:val="nil"/>
          <w:bottom w:val="nil"/>
          <w:right w:val="nil"/>
          <w:between w:val="nil"/>
        </w:pBdr>
        <w:rPr>
          <w:rFonts w:ascii="Century Gothic" w:eastAsia="Quattrocento Sans" w:hAnsi="Century Gothic" w:cs="Segoe UI"/>
          <w:b/>
          <w:sz w:val="21"/>
          <w:szCs w:val="21"/>
        </w:rPr>
      </w:pPr>
      <w:r w:rsidRPr="004D1D8B">
        <w:rPr>
          <w:rFonts w:ascii="Century Gothic" w:eastAsia="Quattrocento Sans" w:hAnsi="Century Gothic" w:cs="Segoe UI"/>
          <w:b/>
          <w:sz w:val="21"/>
          <w:szCs w:val="21"/>
        </w:rPr>
        <w:t>CONCEPTO COMITÉ TÉCNICO DEL CONSEJO SUPERIOR DE POLÍTICA CRIMINAL</w:t>
      </w:r>
      <w:r>
        <w:rPr>
          <w:rFonts w:ascii="Century Gothic" w:eastAsia="Quattrocento Sans" w:hAnsi="Century Gothic" w:cs="Segoe UI"/>
          <w:b/>
          <w:sz w:val="21"/>
          <w:szCs w:val="21"/>
        </w:rPr>
        <w:t>.</w:t>
      </w:r>
    </w:p>
    <w:p w14:paraId="6868E361" w14:textId="57F62E3B" w:rsidR="009102BF" w:rsidRPr="00B07C98" w:rsidRDefault="009B7370" w:rsidP="000F0CC8">
      <w:pPr>
        <w:pBdr>
          <w:top w:val="nil"/>
          <w:left w:val="nil"/>
          <w:bottom w:val="nil"/>
          <w:right w:val="nil"/>
          <w:between w:val="nil"/>
        </w:pBdr>
        <w:spacing w:line="276" w:lineRule="auto"/>
        <w:jc w:val="both"/>
        <w:rPr>
          <w:rFonts w:ascii="Century Gothic" w:hAnsi="Century Gothic" w:cs="Segoe UI"/>
          <w:sz w:val="21"/>
          <w:szCs w:val="21"/>
        </w:rPr>
      </w:pPr>
      <w:r w:rsidRPr="00B07C98">
        <w:rPr>
          <w:rFonts w:ascii="Century Gothic" w:eastAsia="Quattrocento Sans" w:hAnsi="Century Gothic" w:cs="Segoe UI"/>
          <w:color w:val="000000"/>
          <w:sz w:val="21"/>
          <w:szCs w:val="21"/>
          <w:lang w:val="es-CO"/>
        </w:rPr>
        <w:t xml:space="preserve">En sesiones del 10 y 24 de septiembre del año 2019, el </w:t>
      </w:r>
      <w:r w:rsidRPr="00B07C98">
        <w:rPr>
          <w:rFonts w:ascii="Century Gothic" w:eastAsia="Quattrocento Sans" w:hAnsi="Century Gothic" w:cs="Segoe UI"/>
          <w:sz w:val="21"/>
          <w:szCs w:val="21"/>
        </w:rPr>
        <w:t>Consejo Superior de Política Criminal</w:t>
      </w:r>
      <w:r w:rsidR="00B07C98" w:rsidRPr="00B07C98">
        <w:rPr>
          <w:rFonts w:ascii="Century Gothic" w:eastAsia="Quattrocento Sans" w:hAnsi="Century Gothic" w:cs="Segoe UI"/>
          <w:b/>
          <w:sz w:val="21"/>
          <w:szCs w:val="21"/>
        </w:rPr>
        <w:t xml:space="preserve"> </w:t>
      </w:r>
      <w:r w:rsidRPr="00B07C98">
        <w:rPr>
          <w:rFonts w:ascii="Century Gothic" w:eastAsia="Quattrocento Sans" w:hAnsi="Century Gothic" w:cs="Segoe UI"/>
          <w:color w:val="000000"/>
          <w:sz w:val="21"/>
          <w:szCs w:val="21"/>
          <w:lang w:val="es-CO"/>
        </w:rPr>
        <w:t>analizó y discutió los Proyectos de Ley Nos. 125 y 180 Cámara acumulados, por medio de los cuales se declara imprescriptible la acción penal</w:t>
      </w:r>
      <w:r w:rsidRPr="00B07C98">
        <w:rPr>
          <w:rFonts w:ascii="Century Gothic" w:hAnsi="Century Gothic" w:cs="Segoe UI"/>
          <w:sz w:val="21"/>
          <w:szCs w:val="21"/>
        </w:rPr>
        <w:t xml:space="preserve"> en el caso de los delitos contra la libertad, formación e integridad sexual cometidos en menores de edad y el delito consagrado en el artículo 237 (incesto), expidiendo el </w:t>
      </w:r>
      <w:r w:rsidRPr="00B07C98">
        <w:rPr>
          <w:rFonts w:ascii="Century Gothic" w:hAnsi="Century Gothic" w:cs="Segoe UI"/>
          <w:b/>
          <w:sz w:val="21"/>
          <w:szCs w:val="21"/>
        </w:rPr>
        <w:t>Concepto 13.2019</w:t>
      </w:r>
      <w:r w:rsidRPr="00B07C98">
        <w:rPr>
          <w:rFonts w:ascii="Century Gothic" w:hAnsi="Century Gothic" w:cs="Segoe UI"/>
          <w:sz w:val="21"/>
          <w:szCs w:val="21"/>
        </w:rPr>
        <w:t xml:space="preserve">, en el que señaló que los proyectos de ley acumulados </w:t>
      </w:r>
      <w:r w:rsidRPr="00B07C98">
        <w:rPr>
          <w:rFonts w:ascii="Century Gothic" w:hAnsi="Century Gothic" w:cs="Segoe UI"/>
          <w:b/>
          <w:sz w:val="21"/>
          <w:szCs w:val="21"/>
          <w:u w:val="single"/>
        </w:rPr>
        <w:t>RESULTABAN CONVENIENTES</w:t>
      </w:r>
      <w:r w:rsidRPr="00B07C98">
        <w:rPr>
          <w:rFonts w:ascii="Century Gothic" w:hAnsi="Century Gothic" w:cs="Segoe UI"/>
          <w:sz w:val="21"/>
          <w:szCs w:val="21"/>
        </w:rPr>
        <w:t>, teniendo en cuenta las siguientes consideraciones:</w:t>
      </w:r>
    </w:p>
    <w:p w14:paraId="1AE7DFD9" w14:textId="77777777" w:rsidR="009102BF" w:rsidRPr="00B07C98" w:rsidRDefault="009102BF" w:rsidP="009102BF">
      <w:pPr>
        <w:pStyle w:val="Prrafodelista"/>
        <w:pBdr>
          <w:top w:val="nil"/>
          <w:left w:val="nil"/>
          <w:bottom w:val="nil"/>
          <w:right w:val="nil"/>
          <w:between w:val="nil"/>
        </w:pBdr>
        <w:ind w:left="1080"/>
        <w:rPr>
          <w:rFonts w:ascii="Century Gothic" w:eastAsia="Quattrocento Sans" w:hAnsi="Century Gothic" w:cs="Segoe UI"/>
          <w:b/>
          <w:color w:val="000000"/>
          <w:sz w:val="21"/>
          <w:szCs w:val="21"/>
        </w:rPr>
      </w:pPr>
    </w:p>
    <w:p w14:paraId="2312F5AD" w14:textId="77777777" w:rsidR="00D7353E" w:rsidRPr="00B07C98" w:rsidRDefault="00D7353E" w:rsidP="00D7353E">
      <w:pPr>
        <w:pStyle w:val="Prrafodelista"/>
        <w:numPr>
          <w:ilvl w:val="0"/>
          <w:numId w:val="48"/>
        </w:numPr>
        <w:spacing w:after="160" w:line="259" w:lineRule="auto"/>
        <w:jc w:val="both"/>
        <w:rPr>
          <w:rFonts w:ascii="Century Gothic" w:hAnsi="Century Gothic" w:cs="Segoe UI"/>
          <w:b/>
          <w:sz w:val="21"/>
          <w:szCs w:val="21"/>
        </w:rPr>
      </w:pPr>
      <w:r w:rsidRPr="00B07C98">
        <w:rPr>
          <w:rFonts w:ascii="Century Gothic" w:hAnsi="Century Gothic" w:cs="Segoe UI"/>
          <w:b/>
          <w:sz w:val="21"/>
          <w:szCs w:val="21"/>
        </w:rPr>
        <w:t>La imprescriptibilidad de la acción penal:</w:t>
      </w:r>
    </w:p>
    <w:p w14:paraId="2967A260" w14:textId="77777777" w:rsidR="00D7353E" w:rsidRPr="00B07C98" w:rsidRDefault="00D7353E" w:rsidP="00D7353E">
      <w:pPr>
        <w:spacing w:line="276" w:lineRule="auto"/>
        <w:jc w:val="both"/>
        <w:rPr>
          <w:rFonts w:ascii="Century Gothic" w:hAnsi="Century Gothic" w:cs="Segoe UI"/>
          <w:sz w:val="21"/>
          <w:szCs w:val="21"/>
        </w:rPr>
      </w:pPr>
      <w:r w:rsidRPr="00B07C98">
        <w:rPr>
          <w:rFonts w:ascii="Century Gothic" w:hAnsi="Century Gothic" w:cs="Segoe UI"/>
          <w:sz w:val="21"/>
          <w:szCs w:val="21"/>
        </w:rPr>
        <w:t>La prescripción de la acción penal se encuentra establecida en el artículo 83 de la Ley 599 de 2000 dentro del capítulo que regula todo lo referido a la extinción de la acción y de la sanción penal, y tradicionalmente ha sido concebida, doctrinaria y jurisprudencialmente, como “</w:t>
      </w:r>
      <w:r w:rsidRPr="00B07C98">
        <w:rPr>
          <w:rFonts w:ascii="Century Gothic" w:hAnsi="Century Gothic" w:cs="Segoe UI"/>
          <w:i/>
          <w:sz w:val="21"/>
          <w:szCs w:val="21"/>
        </w:rPr>
        <w:t>un instituto liberador, en virtud del cual se extingue la acción o cesa el derecho del Estado a imponer una sanción</w:t>
      </w:r>
      <w:r w:rsidRPr="00B07C98">
        <w:rPr>
          <w:rFonts w:ascii="Century Gothic" w:hAnsi="Century Gothic" w:cs="Segoe UI"/>
          <w:sz w:val="21"/>
          <w:szCs w:val="21"/>
        </w:rPr>
        <w:t>” (C-556 de 2001 y C-1033 de 2006).</w:t>
      </w:r>
    </w:p>
    <w:p w14:paraId="75EF38DE" w14:textId="77777777" w:rsidR="00AC415E" w:rsidRPr="00B07C98" w:rsidRDefault="00AC415E" w:rsidP="00D7353E">
      <w:pPr>
        <w:spacing w:line="276" w:lineRule="auto"/>
        <w:jc w:val="both"/>
        <w:rPr>
          <w:rFonts w:ascii="Century Gothic" w:hAnsi="Century Gothic" w:cs="Segoe UI"/>
          <w:sz w:val="21"/>
          <w:szCs w:val="21"/>
        </w:rPr>
      </w:pPr>
    </w:p>
    <w:p w14:paraId="07CCFD04" w14:textId="77777777" w:rsidR="00D7353E" w:rsidRPr="00B07C98" w:rsidRDefault="00D7353E" w:rsidP="00D7353E">
      <w:pPr>
        <w:spacing w:line="276" w:lineRule="auto"/>
        <w:jc w:val="both"/>
        <w:rPr>
          <w:rFonts w:ascii="Century Gothic" w:hAnsi="Century Gothic" w:cs="Segoe UI"/>
          <w:i/>
          <w:sz w:val="21"/>
          <w:szCs w:val="21"/>
        </w:rPr>
      </w:pPr>
      <w:r w:rsidRPr="00B07C98">
        <w:rPr>
          <w:rFonts w:ascii="Century Gothic" w:hAnsi="Century Gothic" w:cs="Segoe UI"/>
          <w:sz w:val="21"/>
          <w:szCs w:val="21"/>
        </w:rPr>
        <w:t xml:space="preserve">El Estado, como titular del </w:t>
      </w:r>
      <w:r w:rsidRPr="00B07C98">
        <w:rPr>
          <w:rFonts w:ascii="Century Gothic" w:hAnsi="Century Gothic" w:cs="Segoe UI"/>
          <w:i/>
          <w:sz w:val="21"/>
          <w:szCs w:val="21"/>
        </w:rPr>
        <w:t xml:space="preserve">ius puniendi, </w:t>
      </w:r>
      <w:r w:rsidRPr="00B07C98">
        <w:rPr>
          <w:rFonts w:ascii="Century Gothic" w:hAnsi="Century Gothic" w:cs="Segoe UI"/>
          <w:sz w:val="21"/>
          <w:szCs w:val="21"/>
        </w:rPr>
        <w:t xml:space="preserve">tiene la potestad de prevenir y castigar las conductas delictivas con el fin de mantener la convivencia social y la seguridad pública, razón por la cual se establecen normas que crean los tipos penales y que desarrollan el </w:t>
      </w:r>
      <w:r w:rsidRPr="00B07C98">
        <w:rPr>
          <w:rFonts w:ascii="Century Gothic" w:hAnsi="Century Gothic" w:cs="Segoe UI"/>
          <w:sz w:val="21"/>
          <w:szCs w:val="21"/>
        </w:rPr>
        <w:lastRenderedPageBreak/>
        <w:t xml:space="preserve">procedimiento para investigar, juzgar e imponer las correspondientes penas a quienes resulten condenados. Así como lo ha definido la Corte Constitucional, </w:t>
      </w:r>
      <w:r w:rsidRPr="00B07C98">
        <w:rPr>
          <w:rFonts w:ascii="Century Gothic" w:hAnsi="Century Gothic" w:cs="Segoe UI"/>
          <w:i/>
          <w:sz w:val="21"/>
          <w:szCs w:val="21"/>
        </w:rPr>
        <w:t>“el derecho penal es la expresión del ius puniendi del Estado que, a través de un conjunto de normas jurídicas, establece cuales son los bienes jurídicos susceptibles de protección penal, las conductas constitutivas de delitos y aquellas penas o medidas de seguridad que deben imponerse a quienes las cometen, mediante los procedimientos dispuestos para tal fin y los instrumentos jurídicos y administrativos diseñados para su ejecución”.</w:t>
      </w:r>
      <w:r w:rsidRPr="00B07C98">
        <w:rPr>
          <w:rStyle w:val="Refdenotaalpie"/>
          <w:rFonts w:ascii="Century Gothic" w:hAnsi="Century Gothic" w:cs="Segoe UI"/>
          <w:i/>
          <w:sz w:val="21"/>
          <w:szCs w:val="21"/>
        </w:rPr>
        <w:footnoteReference w:id="10"/>
      </w:r>
    </w:p>
    <w:p w14:paraId="33B45320" w14:textId="77777777" w:rsidR="00B11336" w:rsidRPr="00B07C98" w:rsidRDefault="00B11336" w:rsidP="00D7353E">
      <w:pPr>
        <w:spacing w:line="276" w:lineRule="auto"/>
        <w:jc w:val="both"/>
        <w:rPr>
          <w:rFonts w:ascii="Century Gothic" w:hAnsi="Century Gothic" w:cs="Segoe UI"/>
          <w:i/>
          <w:sz w:val="21"/>
          <w:szCs w:val="21"/>
        </w:rPr>
      </w:pPr>
    </w:p>
    <w:p w14:paraId="5E134882" w14:textId="77777777" w:rsidR="00D7353E" w:rsidRPr="00B07C98" w:rsidRDefault="00D7353E" w:rsidP="00D7353E">
      <w:pPr>
        <w:spacing w:line="276" w:lineRule="auto"/>
        <w:jc w:val="both"/>
        <w:rPr>
          <w:rFonts w:ascii="Century Gothic" w:hAnsi="Century Gothic" w:cs="Segoe UI"/>
          <w:sz w:val="21"/>
          <w:szCs w:val="21"/>
        </w:rPr>
      </w:pPr>
      <w:r w:rsidRPr="00B07C98">
        <w:rPr>
          <w:rFonts w:ascii="Century Gothic" w:hAnsi="Century Gothic" w:cs="Segoe UI"/>
          <w:sz w:val="21"/>
          <w:szCs w:val="21"/>
        </w:rPr>
        <w:t xml:space="preserve">Hoy en día, en el ámbito del derecho penal, se ha puesto en el centro de discusión la oportunidad de suprimir la posibilidad de que ciertos delitos puedan prescribir, mucho más si se dirigen en contra de determinados sujetos que son objeto de especial protección, como los menores; </w:t>
      </w:r>
      <w:r w:rsidRPr="00B07C98">
        <w:rPr>
          <w:rFonts w:ascii="Century Gothic" w:hAnsi="Century Gothic" w:cs="Segoe UI"/>
          <w:i/>
          <w:sz w:val="21"/>
          <w:szCs w:val="21"/>
        </w:rPr>
        <w:t>“De ahí que en los últimos tiempos se hayan endurecido las condiciones para que la prescripción pueda operar, e incluso que se venga a señalar en el Código Penal la imprescriptibilidad de determinados delitos (…) sin que tampoco tal imprescriptibilidad hubiera sido previamente establecida en el plano de los tratados internacionales, lo que venía siendo habitual hasta la fecha”</w:t>
      </w:r>
      <w:r w:rsidRPr="00B07C98">
        <w:rPr>
          <w:rStyle w:val="Refdenotaalpie"/>
          <w:rFonts w:ascii="Century Gothic" w:hAnsi="Century Gothic" w:cs="Segoe UI"/>
          <w:i/>
          <w:sz w:val="21"/>
          <w:szCs w:val="21"/>
        </w:rPr>
        <w:footnoteReference w:id="11"/>
      </w:r>
      <w:r w:rsidRPr="00B07C98">
        <w:rPr>
          <w:rFonts w:ascii="Century Gothic" w:hAnsi="Century Gothic" w:cs="Segoe UI"/>
          <w:i/>
          <w:sz w:val="21"/>
          <w:szCs w:val="21"/>
        </w:rPr>
        <w:t xml:space="preserve">. </w:t>
      </w:r>
      <w:r w:rsidRPr="00B07C98">
        <w:rPr>
          <w:rFonts w:ascii="Century Gothic" w:hAnsi="Century Gothic" w:cs="Segoe UI"/>
          <w:sz w:val="21"/>
          <w:szCs w:val="21"/>
        </w:rPr>
        <w:t>Y es que la gravedad que comporta un delito contra la libertad, integridad y formación sexuales de una niña, niño o un adolescente y que trae aparejado no sólo la atrocidad del acto sino en repercusiones de índole físico y emocional que acompañan a la víctima y a sus familiares casi que, por el resto de sus vidas, hacen que resulte jurídicamente posible pensar hoy en la imprescriptibilidad de tales conductas como una medida de dignificación y reparación de las víctimas.</w:t>
      </w:r>
    </w:p>
    <w:p w14:paraId="6ECECFCB" w14:textId="77777777" w:rsidR="003A7BB4" w:rsidRPr="00B07C98" w:rsidRDefault="003A7BB4" w:rsidP="00D7353E">
      <w:pPr>
        <w:spacing w:line="276" w:lineRule="auto"/>
        <w:jc w:val="both"/>
        <w:rPr>
          <w:rFonts w:ascii="Century Gothic" w:hAnsi="Century Gothic" w:cs="Segoe UI"/>
          <w:sz w:val="21"/>
          <w:szCs w:val="21"/>
        </w:rPr>
      </w:pPr>
    </w:p>
    <w:p w14:paraId="24D19D10" w14:textId="77777777" w:rsidR="00D7353E" w:rsidRPr="00B07C98" w:rsidRDefault="00D7353E" w:rsidP="00D7353E">
      <w:pPr>
        <w:spacing w:line="276" w:lineRule="auto"/>
        <w:jc w:val="both"/>
        <w:rPr>
          <w:rFonts w:ascii="Century Gothic" w:hAnsi="Century Gothic" w:cs="Segoe UI"/>
          <w:sz w:val="21"/>
          <w:szCs w:val="21"/>
        </w:rPr>
      </w:pPr>
      <w:r w:rsidRPr="00B07C98">
        <w:rPr>
          <w:rFonts w:ascii="Century Gothic" w:hAnsi="Century Gothic" w:cs="Segoe UI"/>
          <w:sz w:val="21"/>
          <w:szCs w:val="21"/>
        </w:rPr>
        <w:t xml:space="preserve">En el ámbito internacional tenemos que la Declaración Universal de los Derechos Humanos se indica que </w:t>
      </w:r>
      <w:r w:rsidRPr="00B07C98">
        <w:rPr>
          <w:rFonts w:ascii="Century Gothic" w:hAnsi="Century Gothic" w:cs="Segoe UI"/>
          <w:i/>
          <w:sz w:val="21"/>
          <w:szCs w:val="21"/>
        </w:rPr>
        <w:t xml:space="preserve">“La maternidad y la infancia tienen derecho a cuidados y asistencia especiales” </w:t>
      </w:r>
      <w:r w:rsidRPr="00B07C98">
        <w:rPr>
          <w:rFonts w:ascii="Century Gothic" w:hAnsi="Century Gothic" w:cs="Segoe UI"/>
          <w:sz w:val="21"/>
          <w:szCs w:val="21"/>
        </w:rPr>
        <w:t xml:space="preserve">(artículo 25-2); en la Declaración de los Derechos del Niño, aprobada por la Asamblea General de las Naciones Unidas el 20 de noviembre de 1959, se dice que los niños serán objeto de una </w:t>
      </w:r>
      <w:r w:rsidRPr="00B07C98">
        <w:rPr>
          <w:rFonts w:ascii="Century Gothic" w:hAnsi="Century Gothic" w:cs="Segoe UI"/>
          <w:i/>
          <w:sz w:val="21"/>
          <w:szCs w:val="21"/>
        </w:rPr>
        <w:t xml:space="preserve">“protección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 </w:t>
      </w:r>
      <w:r w:rsidRPr="00B07C98">
        <w:rPr>
          <w:rFonts w:ascii="Century Gothic" w:hAnsi="Century Gothic" w:cs="Segoe UI"/>
          <w:sz w:val="21"/>
          <w:szCs w:val="21"/>
        </w:rPr>
        <w:t xml:space="preserve">(art. 2°); el Pacto Internacional de Derechos Civiles y Políticos (Ley 74 de 1968) se lee que los niños tienen </w:t>
      </w:r>
      <w:r w:rsidRPr="00B07C98">
        <w:rPr>
          <w:rFonts w:ascii="Century Gothic" w:hAnsi="Century Gothic" w:cs="Segoe UI"/>
          <w:i/>
          <w:sz w:val="21"/>
          <w:szCs w:val="21"/>
        </w:rPr>
        <w:t xml:space="preserve">“derecho, sin discriminación alguna por motivos de raza, color, sexo, idioma, religión, origen nacional o social, posición económica o nacimiento, a las medidas de protección de su condición de menor requiere, tanto por parte de su familia como de la sociedad y del Estado” </w:t>
      </w:r>
      <w:r w:rsidRPr="00B07C98">
        <w:rPr>
          <w:rFonts w:ascii="Century Gothic" w:hAnsi="Century Gothic" w:cs="Segoe UI"/>
          <w:sz w:val="21"/>
          <w:szCs w:val="21"/>
        </w:rPr>
        <w:t xml:space="preserve">(art. 24); en la Convención Internacional sobre los Derechos del Niño, adoptada por la Asamblea General de las Naciones Unidas el 20 de noviembre de 1989 y ratificada por Colombia mediante Ley 12 de 1992, se reconoce que el niño es un ser humano en estado de inmadurez física y mental que necesita </w:t>
      </w:r>
      <w:r w:rsidRPr="00B07C98">
        <w:rPr>
          <w:rFonts w:ascii="Century Gothic" w:hAnsi="Century Gothic" w:cs="Segoe UI"/>
          <w:i/>
          <w:sz w:val="21"/>
          <w:szCs w:val="21"/>
        </w:rPr>
        <w:t xml:space="preserve">“protección y cuidado </w:t>
      </w:r>
      <w:r w:rsidRPr="00B07C98">
        <w:rPr>
          <w:rFonts w:ascii="Century Gothic" w:hAnsi="Century Gothic" w:cs="Segoe UI"/>
          <w:i/>
          <w:sz w:val="21"/>
          <w:szCs w:val="21"/>
        </w:rPr>
        <w:lastRenderedPageBreak/>
        <w:t xml:space="preserve">especiales, incluso la debida protección legal, tanto antes como después de nacimiento. </w:t>
      </w:r>
      <w:r w:rsidRPr="00B07C98">
        <w:rPr>
          <w:rFonts w:ascii="Century Gothic" w:hAnsi="Century Gothic" w:cs="Segoe UI"/>
          <w:sz w:val="21"/>
          <w:szCs w:val="21"/>
        </w:rPr>
        <w:t xml:space="preserve">Esto entre otros instrumentos internacionales que ponen de presente la prevalencia de nuestra Constitución otorga a los menores de edad, tales como el convenio relativo a la protección del niño y a la cooperación en materia de adopción internacional, hecho en La Haya, el 29 de mayo de 1993 (Ley 265 de 1996), la Declaración de Ginebra sobre Derechos del Niño, la Convención Americana sobre Derechos Humanos o Pacto de San José de Costa Rica aprobado mediante la ley 16 de 1972, el Pacto Internacional de Derechos Económicos, Sociales y Culturales – Ley 74 de 1968 – y el Protocolo adicional a la Convención Americana sobre Derechos Humanos en materia de derechos económicos, sociales y culturales </w:t>
      </w:r>
      <w:r w:rsidRPr="00B07C98">
        <w:rPr>
          <w:rFonts w:ascii="Century Gothic" w:hAnsi="Century Gothic" w:cs="Segoe UI"/>
          <w:i/>
          <w:sz w:val="21"/>
          <w:szCs w:val="21"/>
        </w:rPr>
        <w:t>“protocolo de San Salvador”</w:t>
      </w:r>
      <w:r w:rsidRPr="00B07C98">
        <w:rPr>
          <w:rFonts w:ascii="Century Gothic" w:hAnsi="Century Gothic" w:cs="Segoe UI"/>
          <w:sz w:val="21"/>
          <w:szCs w:val="21"/>
        </w:rPr>
        <w:t>, aprobado por Colombia mediante Ley 319 de 1996.</w:t>
      </w:r>
    </w:p>
    <w:p w14:paraId="3D4859E4" w14:textId="77777777" w:rsidR="00B116FB" w:rsidRPr="00B07C98" w:rsidRDefault="00B116FB" w:rsidP="00D7353E">
      <w:pPr>
        <w:spacing w:line="276" w:lineRule="auto"/>
        <w:jc w:val="both"/>
        <w:rPr>
          <w:rFonts w:ascii="Century Gothic" w:hAnsi="Century Gothic" w:cs="Segoe UI"/>
          <w:sz w:val="21"/>
          <w:szCs w:val="21"/>
        </w:rPr>
      </w:pPr>
    </w:p>
    <w:p w14:paraId="18832FA1" w14:textId="77777777" w:rsidR="00D7353E" w:rsidRPr="00B07C98" w:rsidRDefault="00D7353E" w:rsidP="00D7353E">
      <w:pPr>
        <w:spacing w:line="276" w:lineRule="auto"/>
        <w:jc w:val="both"/>
        <w:rPr>
          <w:rFonts w:ascii="Century Gothic" w:hAnsi="Century Gothic" w:cs="Segoe UI"/>
          <w:i/>
          <w:sz w:val="21"/>
          <w:szCs w:val="21"/>
        </w:rPr>
      </w:pPr>
      <w:r w:rsidRPr="00B07C98">
        <w:rPr>
          <w:rFonts w:ascii="Century Gothic" w:hAnsi="Century Gothic" w:cs="Segoe UI"/>
          <w:sz w:val="21"/>
          <w:szCs w:val="21"/>
        </w:rPr>
        <w:t xml:space="preserve">Toda esta normatividad pone de presente la obligación del Estado Colombiano de crear normas que protejan en extremo en los niños, pues </w:t>
      </w:r>
      <w:r w:rsidRPr="00B07C98">
        <w:rPr>
          <w:rFonts w:ascii="Century Gothic" w:hAnsi="Century Gothic" w:cs="Segoe UI"/>
          <w:i/>
          <w:sz w:val="21"/>
          <w:szCs w:val="21"/>
        </w:rPr>
        <w:t xml:space="preserve">“Son considerados como grupo destinatario de una atención especial estatal </w:t>
      </w:r>
      <w:r w:rsidRPr="00B07C98">
        <w:rPr>
          <w:rFonts w:ascii="Century Gothic" w:hAnsi="Century Gothic" w:cs="Segoe UI"/>
          <w:b/>
          <w:i/>
          <w:sz w:val="21"/>
          <w:szCs w:val="21"/>
          <w:u w:val="single"/>
        </w:rPr>
        <w:t>que se traduce en un tratamiento jurídico proteccionista</w:t>
      </w:r>
      <w:r w:rsidRPr="00B07C98">
        <w:rPr>
          <w:rFonts w:ascii="Century Gothic" w:hAnsi="Century Gothic" w:cs="Segoe UI"/>
          <w:b/>
          <w:sz w:val="21"/>
          <w:szCs w:val="21"/>
        </w:rPr>
        <w:t xml:space="preserve">, </w:t>
      </w:r>
      <w:r w:rsidRPr="00B07C98">
        <w:rPr>
          <w:rFonts w:ascii="Century Gothic" w:hAnsi="Century Gothic" w:cs="Segoe UI"/>
          <w:i/>
          <w:sz w:val="21"/>
          <w:szCs w:val="21"/>
        </w:rPr>
        <w:t>respecto de sus derechos y de las garantías previstas para alcanzar su efectividad. Así, logran identificarse como seres reales, autónomos y en proceso de evolución personal, titulares de un interés jurídico superior que irradia todo el ordenamiento jurídico y que, en términos muy generales, consiste en lo siguiente:</w:t>
      </w:r>
    </w:p>
    <w:p w14:paraId="1BAD4FB4" w14:textId="77777777" w:rsidR="00B116FB" w:rsidRPr="00B07C98" w:rsidRDefault="00B116FB" w:rsidP="00D7353E">
      <w:pPr>
        <w:spacing w:line="276" w:lineRule="auto"/>
        <w:jc w:val="both"/>
        <w:rPr>
          <w:rFonts w:ascii="Century Gothic" w:hAnsi="Century Gothic" w:cs="Segoe UI"/>
          <w:i/>
          <w:sz w:val="21"/>
          <w:szCs w:val="21"/>
        </w:rPr>
      </w:pPr>
    </w:p>
    <w:p w14:paraId="7BC6EB88" w14:textId="77777777" w:rsidR="00D7353E" w:rsidRPr="00B07C98" w:rsidRDefault="00D7353E" w:rsidP="00D7353E">
      <w:pPr>
        <w:spacing w:line="276" w:lineRule="auto"/>
        <w:jc w:val="both"/>
        <w:rPr>
          <w:rFonts w:ascii="Century Gothic" w:hAnsi="Century Gothic" w:cs="Segoe UI"/>
          <w:i/>
          <w:sz w:val="21"/>
          <w:szCs w:val="21"/>
        </w:rPr>
      </w:pPr>
      <w:r w:rsidRPr="00B07C98">
        <w:rPr>
          <w:rFonts w:ascii="Century Gothic" w:hAnsi="Century Gothic" w:cs="Segoe UI"/>
          <w:i/>
          <w:sz w:val="21"/>
          <w:szCs w:val="21"/>
        </w:rPr>
        <w:t>“(…) se trata de un principio de naturaleza constitucional que reconoce a los menores con una caracterización jurídica especifica fundada en sus derechos prevalentes y en darles un trate equivalente a esa prelación en cuya virtud se los proteja de manera especial, se los defienda ante abusos y se les garantice el desarrollo normal y sano por los aspectos físico, sicológico, intelectual y moral, no menos que la correcta evolución de su personalidad (Cfr. Sentencias T-408 del 14 de septiembre de 1995 y T-514 del 21 de septiembre de 1998)”</w:t>
      </w:r>
      <w:r w:rsidRPr="00B07C98">
        <w:rPr>
          <w:rStyle w:val="Refdenotaalpie"/>
          <w:rFonts w:ascii="Century Gothic" w:hAnsi="Century Gothic" w:cs="Segoe UI"/>
          <w:i/>
          <w:sz w:val="21"/>
          <w:szCs w:val="21"/>
        </w:rPr>
        <w:footnoteReference w:id="12"/>
      </w:r>
      <w:r w:rsidRPr="00B07C98">
        <w:rPr>
          <w:rFonts w:ascii="Century Gothic" w:hAnsi="Century Gothic" w:cs="Segoe UI"/>
          <w:i/>
          <w:sz w:val="21"/>
          <w:szCs w:val="21"/>
        </w:rPr>
        <w:t>.</w:t>
      </w:r>
    </w:p>
    <w:p w14:paraId="7F232FAC" w14:textId="77777777" w:rsidR="00B116FB" w:rsidRPr="00B07C98" w:rsidRDefault="00B116FB" w:rsidP="00D7353E">
      <w:pPr>
        <w:spacing w:line="276" w:lineRule="auto"/>
        <w:jc w:val="both"/>
        <w:rPr>
          <w:rFonts w:ascii="Century Gothic" w:hAnsi="Century Gothic" w:cs="Segoe UI"/>
          <w:i/>
          <w:sz w:val="21"/>
          <w:szCs w:val="21"/>
        </w:rPr>
      </w:pPr>
    </w:p>
    <w:p w14:paraId="1946BB84" w14:textId="77777777" w:rsidR="00D7353E" w:rsidRPr="00B07C98" w:rsidRDefault="00D7353E" w:rsidP="00D7353E">
      <w:pPr>
        <w:spacing w:line="276" w:lineRule="auto"/>
        <w:jc w:val="both"/>
        <w:rPr>
          <w:rFonts w:ascii="Century Gothic" w:hAnsi="Century Gothic" w:cs="Segoe UI"/>
          <w:b/>
          <w:i/>
          <w:sz w:val="21"/>
          <w:szCs w:val="21"/>
          <w:u w:val="single"/>
        </w:rPr>
      </w:pPr>
      <w:r w:rsidRPr="00B07C98">
        <w:rPr>
          <w:rFonts w:ascii="Century Gothic" w:hAnsi="Century Gothic" w:cs="Segoe UI"/>
          <w:sz w:val="21"/>
          <w:szCs w:val="21"/>
        </w:rPr>
        <w:t xml:space="preserve">Y así con razón también ha dicho la Corte Constitucional que ese trato especialmente protector que demandan los niños </w:t>
      </w:r>
      <w:r w:rsidRPr="00B07C98">
        <w:rPr>
          <w:rFonts w:ascii="Century Gothic" w:hAnsi="Century Gothic" w:cs="Segoe UI"/>
          <w:b/>
          <w:i/>
          <w:sz w:val="21"/>
          <w:szCs w:val="21"/>
          <w:u w:val="single"/>
        </w:rPr>
        <w:t>“debe reflejarse en todos los aspectos de la legislación, cuando quiera que el Estado identifique puntos de posible vulnerabilidad”</w:t>
      </w:r>
      <w:r w:rsidRPr="00B07C98">
        <w:rPr>
          <w:rStyle w:val="Refdenotaalpie"/>
          <w:rFonts w:ascii="Century Gothic" w:hAnsi="Century Gothic" w:cs="Segoe UI"/>
          <w:b/>
          <w:i/>
          <w:sz w:val="21"/>
          <w:szCs w:val="21"/>
          <w:u w:val="single"/>
        </w:rPr>
        <w:footnoteReference w:id="13"/>
      </w:r>
      <w:r w:rsidRPr="00B07C98">
        <w:rPr>
          <w:rFonts w:ascii="Century Gothic" w:hAnsi="Century Gothic" w:cs="Segoe UI"/>
          <w:b/>
          <w:i/>
          <w:sz w:val="21"/>
          <w:szCs w:val="21"/>
          <w:u w:val="single"/>
        </w:rPr>
        <w:t>.</w:t>
      </w:r>
    </w:p>
    <w:p w14:paraId="62D777FE" w14:textId="77777777" w:rsidR="00B116FB" w:rsidRPr="00B07C98" w:rsidRDefault="00B116FB" w:rsidP="00D7353E">
      <w:pPr>
        <w:spacing w:line="276" w:lineRule="auto"/>
        <w:jc w:val="both"/>
        <w:rPr>
          <w:rFonts w:ascii="Century Gothic" w:hAnsi="Century Gothic" w:cs="Segoe UI"/>
          <w:b/>
          <w:i/>
          <w:sz w:val="21"/>
          <w:szCs w:val="21"/>
          <w:u w:val="single"/>
        </w:rPr>
      </w:pPr>
    </w:p>
    <w:p w14:paraId="49947B36" w14:textId="0EF14F4C" w:rsidR="00D7353E" w:rsidRPr="00B07C98" w:rsidRDefault="00D7353E" w:rsidP="00D7353E">
      <w:pPr>
        <w:spacing w:line="276" w:lineRule="auto"/>
        <w:jc w:val="both"/>
        <w:rPr>
          <w:rFonts w:ascii="Century Gothic" w:hAnsi="Century Gothic" w:cs="Segoe UI"/>
          <w:b/>
          <w:i/>
          <w:sz w:val="21"/>
          <w:szCs w:val="21"/>
          <w:u w:val="single"/>
        </w:rPr>
      </w:pPr>
      <w:r w:rsidRPr="00B07C98">
        <w:rPr>
          <w:rFonts w:ascii="Century Gothic" w:hAnsi="Century Gothic" w:cs="Segoe UI"/>
          <w:sz w:val="21"/>
          <w:szCs w:val="21"/>
        </w:rPr>
        <w:t xml:space="preserve">Con este marco entonces, es que el </w:t>
      </w:r>
      <w:r w:rsidRPr="00B07C98">
        <w:rPr>
          <w:rFonts w:ascii="Century Gothic" w:hAnsi="Century Gothic" w:cs="Segoe UI"/>
          <w:b/>
          <w:sz w:val="21"/>
          <w:szCs w:val="21"/>
        </w:rPr>
        <w:t>Consejo Superior de Política Criminal considera viable desde el punto de vista político criminal que se convierta en Ley de la República la imprescriptibilidad de la acción penal en aquellos delitos que buscan proteger el bien jurídico de la libertad, integridad y formación sexual de las niñas, niños y adolescentes, así como de aquella conducta contenida en el artículo 237 del Código Penal;</w:t>
      </w:r>
      <w:r w:rsidRPr="00B07C98">
        <w:rPr>
          <w:rFonts w:ascii="Century Gothic" w:hAnsi="Century Gothic" w:cs="Segoe UI"/>
          <w:sz w:val="21"/>
          <w:szCs w:val="21"/>
        </w:rPr>
        <w:t xml:space="preserve"> </w:t>
      </w:r>
      <w:r w:rsidR="00B116FB" w:rsidRPr="00B07C98">
        <w:rPr>
          <w:rFonts w:ascii="Century Gothic" w:hAnsi="Century Gothic" w:cs="Segoe UI"/>
          <w:sz w:val="21"/>
          <w:szCs w:val="21"/>
        </w:rPr>
        <w:t xml:space="preserve">(negrilla fuera del texto) </w:t>
      </w:r>
      <w:r w:rsidRPr="00B07C98">
        <w:rPr>
          <w:rFonts w:ascii="Century Gothic" w:hAnsi="Century Gothic" w:cs="Segoe UI"/>
          <w:sz w:val="21"/>
          <w:szCs w:val="21"/>
        </w:rPr>
        <w:t xml:space="preserve">pues subsiste en todo momento la necesidad de imponer una pena al responsable de estos crímenes, no solo en cumplimiento de las funciones de la pena que nos trae en el artículo 4° el Código Penal, sino como materialización de ese principio del </w:t>
      </w:r>
      <w:r w:rsidRPr="00B07C98">
        <w:rPr>
          <w:rFonts w:ascii="Century Gothic" w:hAnsi="Century Gothic" w:cs="Segoe UI"/>
          <w:sz w:val="21"/>
          <w:szCs w:val="21"/>
        </w:rPr>
        <w:lastRenderedPageBreak/>
        <w:t xml:space="preserve">interés superior del menor que hace referencia a que se deben tomar todas las medidas que produzcan mayor beneficio y garantía más efectiva a los derechos de niños, niñas y adolescentes. Y, en palabras de la Corte, </w:t>
      </w:r>
      <w:r w:rsidRPr="00B07C98">
        <w:rPr>
          <w:rFonts w:ascii="Century Gothic" w:hAnsi="Century Gothic" w:cs="Segoe UI"/>
          <w:i/>
          <w:sz w:val="21"/>
          <w:szCs w:val="21"/>
        </w:rPr>
        <w:t xml:space="preserve">“De este modo, </w:t>
      </w:r>
      <w:r w:rsidRPr="00B07C98">
        <w:rPr>
          <w:rFonts w:ascii="Century Gothic" w:hAnsi="Century Gothic" w:cs="Segoe UI"/>
          <w:b/>
          <w:i/>
          <w:sz w:val="21"/>
          <w:szCs w:val="21"/>
          <w:u w:val="single"/>
        </w:rPr>
        <w:t>es razonable concluir que el interés superior del menor es un principio rector en cuanto al trato normativo de los(as) niños y niñas, dirigido tanto a quienes crean y aplican las normas jurídicas, como a quienes implementan políticas o se relacionan con ellos en desarrollo de su rol social”.</w:t>
      </w:r>
      <w:r w:rsidRPr="00B07C98">
        <w:rPr>
          <w:rStyle w:val="Refdenotaalpie"/>
          <w:rFonts w:ascii="Century Gothic" w:hAnsi="Century Gothic" w:cs="Segoe UI"/>
          <w:b/>
          <w:i/>
          <w:sz w:val="21"/>
          <w:szCs w:val="21"/>
          <w:u w:val="single"/>
        </w:rPr>
        <w:footnoteReference w:id="14"/>
      </w:r>
    </w:p>
    <w:p w14:paraId="14721850" w14:textId="77777777" w:rsidR="00A61624" w:rsidRPr="00B07C98" w:rsidRDefault="00A61624" w:rsidP="00A61624">
      <w:pPr>
        <w:spacing w:line="276" w:lineRule="auto"/>
        <w:jc w:val="both"/>
        <w:rPr>
          <w:rFonts w:ascii="Century Gothic" w:hAnsi="Century Gothic" w:cs="Segoe UI"/>
          <w:bCs/>
          <w:iCs/>
          <w:sz w:val="21"/>
          <w:szCs w:val="21"/>
        </w:rPr>
      </w:pPr>
    </w:p>
    <w:p w14:paraId="16F0BE90" w14:textId="6FBF0FFF" w:rsidR="00512870" w:rsidRPr="00231373" w:rsidRDefault="00ED2BCD" w:rsidP="00231373">
      <w:pPr>
        <w:pStyle w:val="Prrafodelista"/>
        <w:numPr>
          <w:ilvl w:val="0"/>
          <w:numId w:val="37"/>
        </w:numPr>
        <w:pBdr>
          <w:top w:val="nil"/>
          <w:left w:val="nil"/>
          <w:bottom w:val="nil"/>
          <w:right w:val="nil"/>
          <w:between w:val="nil"/>
        </w:pBdr>
        <w:jc w:val="center"/>
        <w:rPr>
          <w:rFonts w:ascii="Century Gothic" w:eastAsia="Quattrocento Sans" w:hAnsi="Century Gothic" w:cs="Segoe UI"/>
          <w:b/>
          <w:color w:val="000000"/>
          <w:sz w:val="21"/>
          <w:szCs w:val="21"/>
        </w:rPr>
      </w:pPr>
      <w:r w:rsidRPr="00ED2BCD">
        <w:rPr>
          <w:rFonts w:ascii="Century Gothic" w:eastAsia="Quattrocento Sans" w:hAnsi="Century Gothic" w:cs="Segoe UI"/>
          <w:b/>
          <w:sz w:val="21"/>
          <w:szCs w:val="21"/>
        </w:rPr>
        <w:t>PLIEGO DE MODIFICACIONES.</w:t>
      </w:r>
    </w:p>
    <w:tbl>
      <w:tblPr>
        <w:tblStyle w:val="Tablaconcuadrcula"/>
        <w:tblW w:w="9923" w:type="dxa"/>
        <w:tblInd w:w="-294" w:type="dxa"/>
        <w:tblLook w:val="04A0" w:firstRow="1" w:lastRow="0" w:firstColumn="1" w:lastColumn="0" w:noHBand="0" w:noVBand="1"/>
      </w:tblPr>
      <w:tblGrid>
        <w:gridCol w:w="3496"/>
        <w:gridCol w:w="3592"/>
        <w:gridCol w:w="2835"/>
      </w:tblGrid>
      <w:tr w:rsidR="00421446" w14:paraId="7FD410E1" w14:textId="77777777" w:rsidTr="0085053B">
        <w:trPr>
          <w:trHeight w:val="221"/>
        </w:trPr>
        <w:tc>
          <w:tcPr>
            <w:tcW w:w="3496" w:type="dxa"/>
          </w:tcPr>
          <w:p w14:paraId="10DA5812" w14:textId="3B0287AF" w:rsidR="006E4654" w:rsidRDefault="006E4654" w:rsidP="006E4654">
            <w:pPr>
              <w:jc w:val="center"/>
              <w:rPr>
                <w:rFonts w:ascii="Century Gothic" w:eastAsia="Quattrocento Sans" w:hAnsi="Century Gothic" w:cs="Segoe UI"/>
                <w:b/>
                <w:color w:val="000000"/>
                <w:sz w:val="21"/>
                <w:szCs w:val="21"/>
              </w:rPr>
            </w:pPr>
            <w:r>
              <w:rPr>
                <w:rFonts w:ascii="Century Gothic" w:hAnsi="Century Gothic"/>
                <w:b/>
                <w:sz w:val="20"/>
                <w:szCs w:val="20"/>
              </w:rPr>
              <w:t>TEXTO APROBADO PRIMER DEBATE</w:t>
            </w:r>
          </w:p>
        </w:tc>
        <w:tc>
          <w:tcPr>
            <w:tcW w:w="3592" w:type="dxa"/>
          </w:tcPr>
          <w:p w14:paraId="237153D4" w14:textId="62BF636E" w:rsidR="006E4654" w:rsidRDefault="006E4654" w:rsidP="006E4654">
            <w:pPr>
              <w:jc w:val="center"/>
              <w:rPr>
                <w:rFonts w:ascii="Century Gothic" w:eastAsia="Quattrocento Sans" w:hAnsi="Century Gothic" w:cs="Segoe UI"/>
                <w:b/>
                <w:color w:val="000000"/>
                <w:sz w:val="21"/>
                <w:szCs w:val="21"/>
              </w:rPr>
            </w:pPr>
            <w:r>
              <w:rPr>
                <w:rFonts w:ascii="Century Gothic" w:hAnsi="Century Gothic"/>
                <w:b/>
                <w:sz w:val="20"/>
                <w:szCs w:val="20"/>
              </w:rPr>
              <w:t>TEXTO PROPUESTO PARA SEGUNDO</w:t>
            </w:r>
            <w:r w:rsidRPr="00231373">
              <w:rPr>
                <w:rFonts w:ascii="Century Gothic" w:hAnsi="Century Gothic"/>
                <w:b/>
                <w:sz w:val="20"/>
                <w:szCs w:val="20"/>
              </w:rPr>
              <w:t xml:space="preserve"> DEBATE</w:t>
            </w:r>
          </w:p>
        </w:tc>
        <w:tc>
          <w:tcPr>
            <w:tcW w:w="2835" w:type="dxa"/>
          </w:tcPr>
          <w:p w14:paraId="4DA9A2B6" w14:textId="30B2FBF9" w:rsidR="006E4654" w:rsidRDefault="006E4654" w:rsidP="006E4654">
            <w:pPr>
              <w:jc w:val="center"/>
              <w:rPr>
                <w:rFonts w:ascii="Century Gothic" w:eastAsia="Quattrocento Sans" w:hAnsi="Century Gothic" w:cs="Segoe UI"/>
                <w:b/>
                <w:color w:val="000000"/>
                <w:sz w:val="21"/>
                <w:szCs w:val="21"/>
              </w:rPr>
            </w:pPr>
            <w:r w:rsidRPr="00231373">
              <w:rPr>
                <w:rFonts w:ascii="Century Gothic" w:hAnsi="Century Gothic"/>
                <w:b/>
                <w:sz w:val="20"/>
                <w:szCs w:val="20"/>
              </w:rPr>
              <w:t>COMENTARIOS</w:t>
            </w:r>
          </w:p>
        </w:tc>
      </w:tr>
      <w:tr w:rsidR="00421446" w14:paraId="3C6A09A0" w14:textId="77777777" w:rsidTr="0085053B">
        <w:trPr>
          <w:trHeight w:val="221"/>
        </w:trPr>
        <w:tc>
          <w:tcPr>
            <w:tcW w:w="3496" w:type="dxa"/>
          </w:tcPr>
          <w:p w14:paraId="2F1C4DC5" w14:textId="77777777" w:rsidR="0011632C" w:rsidRPr="000D37A0" w:rsidRDefault="006E4654" w:rsidP="0011632C">
            <w:pPr>
              <w:spacing w:after="240" w:line="276" w:lineRule="auto"/>
              <w:jc w:val="both"/>
              <w:rPr>
                <w:rFonts w:ascii="Century Gothic" w:eastAsia="Quattrocento Sans" w:hAnsi="Century Gothic" w:cs="Segoe UI"/>
                <w:b/>
                <w:sz w:val="21"/>
                <w:szCs w:val="21"/>
              </w:rPr>
            </w:pPr>
            <w:r w:rsidRPr="000D37A0">
              <w:rPr>
                <w:rFonts w:ascii="Century Gothic" w:eastAsia="Quattrocento Sans" w:hAnsi="Century Gothic" w:cs="Segoe UI"/>
                <w:i/>
                <w:sz w:val="21"/>
                <w:szCs w:val="21"/>
              </w:rPr>
              <w:t xml:space="preserve"> </w:t>
            </w:r>
            <w:r w:rsidR="0011632C" w:rsidRPr="000D37A0">
              <w:rPr>
                <w:rFonts w:ascii="Century Gothic" w:eastAsia="Quattrocento Sans" w:hAnsi="Century Gothic" w:cs="Segoe UI"/>
                <w:b/>
                <w:sz w:val="21"/>
                <w:szCs w:val="21"/>
              </w:rPr>
              <w:t xml:space="preserve">ARTÍCULO 1. </w:t>
            </w:r>
            <w:r w:rsidR="0011632C" w:rsidRPr="000D37A0">
              <w:rPr>
                <w:rFonts w:ascii="Century Gothic" w:eastAsia="Quattrocento Sans" w:hAnsi="Century Gothic" w:cs="Segoe UI"/>
                <w:sz w:val="21"/>
                <w:szCs w:val="21"/>
              </w:rPr>
              <w:t>Modifíquese el artículo 83 de la Ley 599 del 2000 “Por la cual se expide e</w:t>
            </w:r>
            <w:r w:rsidR="0011632C">
              <w:rPr>
                <w:rFonts w:ascii="Century Gothic" w:eastAsia="Quattrocento Sans" w:hAnsi="Century Gothic" w:cs="Segoe UI"/>
                <w:sz w:val="21"/>
                <w:szCs w:val="21"/>
              </w:rPr>
              <w:t>l Código Penal”, el cual quedará</w:t>
            </w:r>
            <w:r w:rsidR="0011632C" w:rsidRPr="000D37A0">
              <w:rPr>
                <w:rFonts w:ascii="Century Gothic" w:eastAsia="Quattrocento Sans" w:hAnsi="Century Gothic" w:cs="Segoe UI"/>
                <w:sz w:val="21"/>
                <w:szCs w:val="21"/>
              </w:rPr>
              <w:t xml:space="preserve"> así:</w:t>
            </w:r>
            <w:r w:rsidR="0011632C">
              <w:rPr>
                <w:rFonts w:ascii="Century Gothic" w:eastAsia="Quattrocento Sans" w:hAnsi="Century Gothic" w:cs="Segoe UI"/>
                <w:b/>
                <w:sz w:val="21"/>
                <w:szCs w:val="21"/>
              </w:rPr>
              <w:t xml:space="preserve"> </w:t>
            </w:r>
          </w:p>
          <w:p w14:paraId="6BE0424D" w14:textId="2862CBD5" w:rsidR="0011632C" w:rsidRPr="000D37A0" w:rsidRDefault="0011632C" w:rsidP="0011632C">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b/>
                <w:i/>
                <w:sz w:val="21"/>
                <w:szCs w:val="21"/>
              </w:rPr>
              <w:t xml:space="preserve">ARTICULO 83. TERMINO DE PRESCRIPCION DE LA ACCION PENAL. </w:t>
            </w:r>
            <w:r w:rsidRPr="000D37A0">
              <w:rPr>
                <w:rFonts w:ascii="Century Gothic" w:eastAsia="Quattrocento Sans" w:hAnsi="Century Gothic" w:cs="Segoe UI"/>
                <w:i/>
                <w:sz w:val="21"/>
                <w:szCs w:val="21"/>
              </w:rPr>
              <w:t>La acción penal prescribirá en un tiempo igual al máximo de la pena fijada en la ley, si fuere privativa de la libertad, pero en ningún caso será inferior a cinco (5) años, ni excederá de vein</w:t>
            </w:r>
            <w:r w:rsidR="000E6AC9">
              <w:rPr>
                <w:rFonts w:ascii="Century Gothic" w:eastAsia="Quattrocento Sans" w:hAnsi="Century Gothic" w:cs="Segoe UI"/>
                <w:i/>
                <w:sz w:val="21"/>
                <w:szCs w:val="21"/>
              </w:rPr>
              <w:t>te (20), salvo lo dispuesto en el</w:t>
            </w:r>
            <w:r w:rsidRPr="000D37A0">
              <w:rPr>
                <w:rFonts w:ascii="Century Gothic" w:eastAsia="Quattrocento Sans" w:hAnsi="Century Gothic" w:cs="Segoe UI"/>
                <w:i/>
                <w:sz w:val="21"/>
                <w:szCs w:val="21"/>
              </w:rPr>
              <w:t xml:space="preserve"> inciso siguiente de este artículo. </w:t>
            </w:r>
          </w:p>
          <w:p w14:paraId="155C659B" w14:textId="2FAE2329" w:rsidR="0011632C" w:rsidRPr="0011632C" w:rsidRDefault="0011632C" w:rsidP="0011632C">
            <w:pPr>
              <w:shd w:val="clear" w:color="auto" w:fill="FFFFFF" w:themeFill="background1"/>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w:t>
            </w:r>
            <w:r w:rsidRPr="006E4654">
              <w:rPr>
                <w:rFonts w:ascii="Century Gothic" w:eastAsia="Quattrocento Sans" w:hAnsi="Century Gothic" w:cs="Segoe UI"/>
                <w:i/>
                <w:sz w:val="21"/>
                <w:szCs w:val="21"/>
              </w:rPr>
              <w:t xml:space="preserve">permanente el término de prescripción </w:t>
            </w:r>
            <w:r w:rsidRPr="000E6AC9">
              <w:rPr>
                <w:rFonts w:ascii="Century Gothic" w:eastAsia="Quattrocento Sans" w:hAnsi="Century Gothic" w:cs="Segoe UI"/>
                <w:i/>
                <w:sz w:val="21"/>
                <w:szCs w:val="21"/>
              </w:rPr>
              <w:t xml:space="preserve">comenzará a correr desde la perpetración del último acto. La </w:t>
            </w:r>
            <w:r w:rsidRPr="000E6AC9">
              <w:rPr>
                <w:rFonts w:ascii="Century Gothic" w:eastAsia="Quattrocento Sans" w:hAnsi="Century Gothic" w:cs="Segoe UI"/>
                <w:i/>
                <w:sz w:val="21"/>
                <w:szCs w:val="21"/>
              </w:rPr>
              <w:lastRenderedPageBreak/>
              <w:t xml:space="preserve">acción penal para los delitos </w:t>
            </w:r>
            <w:r w:rsidR="000E6AC9" w:rsidRPr="000E6AC9">
              <w:rPr>
                <w:rFonts w:ascii="Century Gothic" w:eastAsia="Quattrocento Sans" w:hAnsi="Century Gothic" w:cs="Segoe UI"/>
                <w:i/>
                <w:sz w:val="21"/>
                <w:szCs w:val="21"/>
              </w:rPr>
              <w:t>en contra la libertad, integridad y formación sexuales</w:t>
            </w:r>
            <w:r w:rsidR="000E6AC9">
              <w:rPr>
                <w:rFonts w:ascii="Century Gothic" w:eastAsia="Quattrocento Sans" w:hAnsi="Century Gothic" w:cs="Segoe UI"/>
                <w:i/>
                <w:sz w:val="21"/>
                <w:szCs w:val="21"/>
              </w:rPr>
              <w:t xml:space="preserve"> o incesto </w:t>
            </w:r>
            <w:r w:rsidR="000E6AC9" w:rsidRPr="000E6AC9">
              <w:rPr>
                <w:rFonts w:ascii="Century Gothic" w:eastAsia="Quattrocento Sans" w:hAnsi="Century Gothic" w:cs="Segoe UI"/>
                <w:i/>
                <w:sz w:val="21"/>
                <w:szCs w:val="21"/>
              </w:rPr>
              <w:t>cometidos sobre menor de 18 años</w:t>
            </w:r>
            <w:r w:rsidR="00561252">
              <w:rPr>
                <w:rFonts w:ascii="Century Gothic" w:eastAsia="Quattrocento Sans" w:hAnsi="Century Gothic" w:cs="Segoe UI"/>
                <w:i/>
                <w:sz w:val="21"/>
                <w:szCs w:val="21"/>
              </w:rPr>
              <w:t>, así como para los delitos de</w:t>
            </w:r>
            <w:r w:rsidRPr="00561252">
              <w:rPr>
                <w:rFonts w:ascii="Century Gothic" w:eastAsia="Quattrocento Sans" w:hAnsi="Century Gothic" w:cs="Segoe UI"/>
                <w:i/>
                <w:sz w:val="21"/>
                <w:szCs w:val="21"/>
              </w:rPr>
              <w:t xml:space="preserve"> genocidio, lesa humanidad, y</w:t>
            </w:r>
            <w:r w:rsidRPr="006E4654">
              <w:rPr>
                <w:rFonts w:ascii="Century Gothic" w:eastAsia="Quattrocento Sans" w:hAnsi="Century Gothic" w:cs="Segoe UI"/>
                <w:i/>
                <w:sz w:val="21"/>
                <w:szCs w:val="21"/>
              </w:rPr>
              <w:t xml:space="preserve"> </w:t>
            </w:r>
            <w:r w:rsidRPr="00561252">
              <w:rPr>
                <w:rFonts w:ascii="Century Gothic" w:eastAsia="Quattrocento Sans" w:hAnsi="Century Gothic" w:cs="Segoe UI"/>
                <w:i/>
                <w:sz w:val="21"/>
                <w:szCs w:val="21"/>
              </w:rPr>
              <w:t>crímenes de guerra será imprescriptible</w:t>
            </w:r>
            <w:r w:rsidR="00315A5D">
              <w:rPr>
                <w:rFonts w:ascii="Century Gothic" w:eastAsia="Quattrocento Sans" w:hAnsi="Century Gothic" w:cs="Segoe UI"/>
                <w:i/>
                <w:sz w:val="21"/>
                <w:szCs w:val="21"/>
              </w:rPr>
              <w:t>.</w:t>
            </w:r>
          </w:p>
          <w:p w14:paraId="276AA9B0" w14:textId="77777777" w:rsidR="0011632C" w:rsidRPr="00EA0161" w:rsidRDefault="0011632C" w:rsidP="0011632C">
            <w:pPr>
              <w:spacing w:line="276" w:lineRule="auto"/>
              <w:jc w:val="both"/>
              <w:rPr>
                <w:rFonts w:ascii="Century Gothic" w:eastAsia="Quattrocento Sans" w:hAnsi="Century Gothic" w:cs="Segoe UI"/>
                <w:i/>
                <w:sz w:val="21"/>
                <w:szCs w:val="21"/>
              </w:rPr>
            </w:pPr>
            <w:r w:rsidRPr="00EA0161">
              <w:rPr>
                <w:rFonts w:ascii="Century Gothic" w:eastAsia="Quattrocento Sans" w:hAnsi="Century Gothic" w:cs="Segoe UI"/>
                <w:i/>
                <w:sz w:val="21"/>
                <w:szCs w:val="21"/>
              </w:rPr>
              <w:t>En las conductas punibles que tengan señalada pena no privativa de la libertad, la acción penal prescribirá en cinco (5) años.</w:t>
            </w:r>
          </w:p>
          <w:p w14:paraId="41FC8FA4" w14:textId="77777777" w:rsidR="0011632C" w:rsidRPr="00EA0161" w:rsidRDefault="0011632C" w:rsidP="0011632C">
            <w:pPr>
              <w:spacing w:line="276" w:lineRule="auto"/>
              <w:rPr>
                <w:rFonts w:eastAsia="Times New Roman"/>
              </w:rPr>
            </w:pPr>
          </w:p>
          <w:p w14:paraId="111F6418" w14:textId="77777777" w:rsidR="0011632C" w:rsidRPr="000D37A0" w:rsidRDefault="0011632C" w:rsidP="0011632C">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Para este efecto se tendrán en cuenta las causales sustanciales modificadoras de la punibilidad. </w:t>
            </w:r>
          </w:p>
          <w:p w14:paraId="7C4F9434" w14:textId="77777777" w:rsidR="0011632C" w:rsidRPr="000D37A0" w:rsidRDefault="0011632C" w:rsidP="0011632C">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 </w:t>
            </w:r>
          </w:p>
          <w:p w14:paraId="13F58488" w14:textId="77777777" w:rsidR="0011632C" w:rsidRPr="000D37A0" w:rsidRDefault="0011632C" w:rsidP="0011632C">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También se aumentará el término de prescripción, en la mitad, cuando la conducta punible se hubiere iniciado o consumado en el exterior. </w:t>
            </w:r>
          </w:p>
          <w:p w14:paraId="603D85D8" w14:textId="4CEA0FC6" w:rsidR="006E4654" w:rsidRPr="006E4654" w:rsidRDefault="0011632C" w:rsidP="0011632C">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En todo caso, cuando se aumente el término de prescripción, no se excederá el límite máximo fijado.</w:t>
            </w:r>
          </w:p>
        </w:tc>
        <w:tc>
          <w:tcPr>
            <w:tcW w:w="3592" w:type="dxa"/>
          </w:tcPr>
          <w:p w14:paraId="451F6015" w14:textId="77777777" w:rsidR="000E187E" w:rsidRPr="000D37A0" w:rsidRDefault="000E187E" w:rsidP="000E187E">
            <w:pPr>
              <w:spacing w:after="240" w:line="276" w:lineRule="auto"/>
              <w:jc w:val="both"/>
              <w:rPr>
                <w:rFonts w:ascii="Century Gothic" w:eastAsia="Quattrocento Sans" w:hAnsi="Century Gothic" w:cs="Segoe UI"/>
                <w:b/>
                <w:sz w:val="21"/>
                <w:szCs w:val="21"/>
              </w:rPr>
            </w:pPr>
            <w:r w:rsidRPr="000D37A0">
              <w:rPr>
                <w:rFonts w:ascii="Century Gothic" w:eastAsia="Quattrocento Sans" w:hAnsi="Century Gothic" w:cs="Segoe UI"/>
                <w:b/>
                <w:sz w:val="21"/>
                <w:szCs w:val="21"/>
              </w:rPr>
              <w:lastRenderedPageBreak/>
              <w:t xml:space="preserve">ARTÍCULO 1. </w:t>
            </w:r>
            <w:r w:rsidRPr="000D37A0">
              <w:rPr>
                <w:rFonts w:ascii="Century Gothic" w:eastAsia="Quattrocento Sans" w:hAnsi="Century Gothic" w:cs="Segoe UI"/>
                <w:sz w:val="21"/>
                <w:szCs w:val="21"/>
              </w:rPr>
              <w:t>Modifíquese el artículo 83 de la Ley 599 del 2000 “Por la cual se expide e</w:t>
            </w:r>
            <w:r>
              <w:rPr>
                <w:rFonts w:ascii="Century Gothic" w:eastAsia="Quattrocento Sans" w:hAnsi="Century Gothic" w:cs="Segoe UI"/>
                <w:sz w:val="21"/>
                <w:szCs w:val="21"/>
              </w:rPr>
              <w:t>l Código Penal”, el cual quedará</w:t>
            </w:r>
            <w:r w:rsidRPr="000D37A0">
              <w:rPr>
                <w:rFonts w:ascii="Century Gothic" w:eastAsia="Quattrocento Sans" w:hAnsi="Century Gothic" w:cs="Segoe UI"/>
                <w:sz w:val="21"/>
                <w:szCs w:val="21"/>
              </w:rPr>
              <w:t xml:space="preserve"> así:</w:t>
            </w:r>
            <w:r>
              <w:rPr>
                <w:rFonts w:ascii="Century Gothic" w:eastAsia="Quattrocento Sans" w:hAnsi="Century Gothic" w:cs="Segoe UI"/>
                <w:b/>
                <w:sz w:val="21"/>
                <w:szCs w:val="21"/>
              </w:rPr>
              <w:t xml:space="preserve"> </w:t>
            </w:r>
          </w:p>
          <w:p w14:paraId="5FB5EDC7" w14:textId="6F3CADDF" w:rsidR="000E187E" w:rsidRPr="000D37A0" w:rsidRDefault="000E187E" w:rsidP="000E187E">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b/>
                <w:i/>
                <w:sz w:val="21"/>
                <w:szCs w:val="21"/>
              </w:rPr>
              <w:t xml:space="preserve">ARTICULO 83. TERMINO DE PRESCRIPCION DE LA ACCION PENAL. </w:t>
            </w:r>
            <w:r w:rsidRPr="000D37A0">
              <w:rPr>
                <w:rFonts w:ascii="Century Gothic" w:eastAsia="Quattrocento Sans" w:hAnsi="Century Gothic" w:cs="Segoe UI"/>
                <w:i/>
                <w:sz w:val="21"/>
                <w:szCs w:val="21"/>
              </w:rPr>
              <w:t xml:space="preserve">La acción penal prescribirá en un tiempo igual al máximo de la pena fijada en la ley, si fuere privativa de la libertad, pero en ningún caso será inferior a cinco (5) años, ni excederá de veinte (20), salvo lo dispuesto en </w:t>
            </w:r>
            <w:r w:rsidRPr="000E6AC9">
              <w:rPr>
                <w:rFonts w:ascii="Century Gothic" w:eastAsia="Quattrocento Sans" w:hAnsi="Century Gothic" w:cs="Segoe UI"/>
                <w:i/>
                <w:strike/>
                <w:sz w:val="21"/>
                <w:szCs w:val="21"/>
              </w:rPr>
              <w:t>el</w:t>
            </w:r>
            <w:r w:rsidRPr="000D37A0">
              <w:rPr>
                <w:rFonts w:ascii="Century Gothic" w:eastAsia="Quattrocento Sans" w:hAnsi="Century Gothic" w:cs="Segoe UI"/>
                <w:i/>
                <w:sz w:val="21"/>
                <w:szCs w:val="21"/>
              </w:rPr>
              <w:t xml:space="preserve"> </w:t>
            </w:r>
            <w:r w:rsidR="000E6AC9" w:rsidRPr="000E6AC9">
              <w:rPr>
                <w:rFonts w:ascii="Century Gothic" w:eastAsia="Quattrocento Sans" w:hAnsi="Century Gothic" w:cs="Segoe UI"/>
                <w:b/>
                <w:i/>
                <w:sz w:val="21"/>
                <w:szCs w:val="21"/>
                <w:u w:val="single"/>
              </w:rPr>
              <w:t>los</w:t>
            </w:r>
            <w:r w:rsidR="000E6AC9">
              <w:rPr>
                <w:rFonts w:ascii="Century Gothic" w:eastAsia="Quattrocento Sans" w:hAnsi="Century Gothic" w:cs="Segoe UI"/>
                <w:i/>
                <w:sz w:val="21"/>
                <w:szCs w:val="21"/>
              </w:rPr>
              <w:t xml:space="preserve"> </w:t>
            </w:r>
            <w:r w:rsidRPr="000D37A0">
              <w:rPr>
                <w:rFonts w:ascii="Century Gothic" w:eastAsia="Quattrocento Sans" w:hAnsi="Century Gothic" w:cs="Segoe UI"/>
                <w:i/>
                <w:sz w:val="21"/>
                <w:szCs w:val="21"/>
              </w:rPr>
              <w:t>inciso</w:t>
            </w:r>
            <w:r w:rsidR="000E6AC9" w:rsidRPr="000E6AC9">
              <w:rPr>
                <w:rFonts w:ascii="Century Gothic" w:eastAsia="Quattrocento Sans" w:hAnsi="Century Gothic" w:cs="Segoe UI"/>
                <w:b/>
                <w:i/>
                <w:sz w:val="21"/>
                <w:szCs w:val="21"/>
                <w:u w:val="single"/>
              </w:rPr>
              <w:t>s</w:t>
            </w:r>
            <w:r w:rsidRPr="000D37A0">
              <w:rPr>
                <w:rFonts w:ascii="Century Gothic" w:eastAsia="Quattrocento Sans" w:hAnsi="Century Gothic" w:cs="Segoe UI"/>
                <w:i/>
                <w:sz w:val="21"/>
                <w:szCs w:val="21"/>
              </w:rPr>
              <w:t xml:space="preserve"> siguiente</w:t>
            </w:r>
            <w:r w:rsidR="000E6AC9" w:rsidRPr="000E6AC9">
              <w:rPr>
                <w:rFonts w:ascii="Century Gothic" w:eastAsia="Quattrocento Sans" w:hAnsi="Century Gothic" w:cs="Segoe UI"/>
                <w:b/>
                <w:i/>
                <w:sz w:val="21"/>
                <w:szCs w:val="21"/>
                <w:u w:val="single"/>
              </w:rPr>
              <w:t>s</w:t>
            </w:r>
            <w:r w:rsidRPr="000D37A0">
              <w:rPr>
                <w:rFonts w:ascii="Century Gothic" w:eastAsia="Quattrocento Sans" w:hAnsi="Century Gothic" w:cs="Segoe UI"/>
                <w:i/>
                <w:sz w:val="21"/>
                <w:szCs w:val="21"/>
              </w:rPr>
              <w:t xml:space="preserve"> de este artículo. </w:t>
            </w:r>
          </w:p>
          <w:p w14:paraId="1F3BC647" w14:textId="77777777" w:rsidR="00446C3B" w:rsidRDefault="000E187E" w:rsidP="0011632C">
            <w:pPr>
              <w:shd w:val="clear" w:color="auto" w:fill="FFFFFF" w:themeFill="background1"/>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w:t>
            </w:r>
            <w:r w:rsidRPr="006E4654">
              <w:rPr>
                <w:rFonts w:ascii="Century Gothic" w:eastAsia="Quattrocento Sans" w:hAnsi="Century Gothic" w:cs="Segoe UI"/>
                <w:i/>
                <w:sz w:val="21"/>
                <w:szCs w:val="21"/>
              </w:rPr>
              <w:t xml:space="preserve">permanente el término de prescripción comenzará a correr desde la perpetración del último acto. </w:t>
            </w:r>
            <w:r w:rsidR="00315A5D" w:rsidRPr="000E6AC9">
              <w:rPr>
                <w:rFonts w:ascii="Century Gothic" w:eastAsia="Quattrocento Sans" w:hAnsi="Century Gothic" w:cs="Segoe UI"/>
                <w:i/>
                <w:sz w:val="21"/>
                <w:szCs w:val="21"/>
              </w:rPr>
              <w:t xml:space="preserve">La </w:t>
            </w:r>
            <w:r w:rsidR="00315A5D" w:rsidRPr="000E6AC9">
              <w:rPr>
                <w:rFonts w:ascii="Century Gothic" w:eastAsia="Quattrocento Sans" w:hAnsi="Century Gothic" w:cs="Segoe UI"/>
                <w:i/>
                <w:sz w:val="21"/>
                <w:szCs w:val="21"/>
              </w:rPr>
              <w:lastRenderedPageBreak/>
              <w:t xml:space="preserve">acción penal para los delitos </w:t>
            </w:r>
            <w:r w:rsidR="00315A5D" w:rsidRPr="00315A5D">
              <w:rPr>
                <w:rFonts w:ascii="Century Gothic" w:eastAsia="Quattrocento Sans" w:hAnsi="Century Gothic" w:cs="Segoe UI"/>
                <w:i/>
                <w:strike/>
                <w:sz w:val="21"/>
                <w:szCs w:val="21"/>
              </w:rPr>
              <w:t>en contra la libertad, integridad y formación sexuales o incesto cometidos sobre menor de 18 años, así como para los delitos</w:t>
            </w:r>
            <w:r w:rsidR="00315A5D">
              <w:rPr>
                <w:rFonts w:ascii="Century Gothic" w:eastAsia="Quattrocento Sans" w:hAnsi="Century Gothic" w:cs="Segoe UI"/>
                <w:i/>
                <w:sz w:val="21"/>
                <w:szCs w:val="21"/>
              </w:rPr>
              <w:t xml:space="preserve"> de</w:t>
            </w:r>
            <w:r w:rsidR="00315A5D" w:rsidRPr="00561252">
              <w:rPr>
                <w:rFonts w:ascii="Century Gothic" w:eastAsia="Quattrocento Sans" w:hAnsi="Century Gothic" w:cs="Segoe UI"/>
                <w:i/>
                <w:sz w:val="21"/>
                <w:szCs w:val="21"/>
              </w:rPr>
              <w:t xml:space="preserve"> genocidio, lesa humanidad, y</w:t>
            </w:r>
            <w:r w:rsidR="00315A5D" w:rsidRPr="006E4654">
              <w:rPr>
                <w:rFonts w:ascii="Century Gothic" w:eastAsia="Quattrocento Sans" w:hAnsi="Century Gothic" w:cs="Segoe UI"/>
                <w:i/>
                <w:sz w:val="21"/>
                <w:szCs w:val="21"/>
              </w:rPr>
              <w:t xml:space="preserve"> </w:t>
            </w:r>
            <w:r w:rsidR="00315A5D" w:rsidRPr="00561252">
              <w:rPr>
                <w:rFonts w:ascii="Century Gothic" w:eastAsia="Quattrocento Sans" w:hAnsi="Century Gothic" w:cs="Segoe UI"/>
                <w:i/>
                <w:sz w:val="21"/>
                <w:szCs w:val="21"/>
              </w:rPr>
              <w:t>crímenes de guerra será imprescriptible</w:t>
            </w:r>
            <w:r w:rsidR="00446C3B">
              <w:rPr>
                <w:rFonts w:ascii="Century Gothic" w:eastAsia="Quattrocento Sans" w:hAnsi="Century Gothic" w:cs="Segoe UI"/>
                <w:i/>
                <w:sz w:val="21"/>
                <w:szCs w:val="21"/>
              </w:rPr>
              <w:t>.</w:t>
            </w:r>
          </w:p>
          <w:p w14:paraId="1AAD9B36" w14:textId="533259CC" w:rsidR="000E187E" w:rsidRPr="00446C3B" w:rsidRDefault="000E187E" w:rsidP="0011632C">
            <w:pPr>
              <w:shd w:val="clear" w:color="auto" w:fill="FFFFFF" w:themeFill="background1"/>
              <w:spacing w:after="240" w:line="276" w:lineRule="auto"/>
              <w:jc w:val="both"/>
              <w:rPr>
                <w:rFonts w:ascii="Century Gothic" w:eastAsia="Quattrocento Sans" w:hAnsi="Century Gothic" w:cs="Segoe UI"/>
                <w:b/>
                <w:i/>
                <w:sz w:val="21"/>
                <w:szCs w:val="21"/>
                <w:u w:val="single"/>
              </w:rPr>
            </w:pPr>
            <w:r w:rsidRPr="00446C3B">
              <w:rPr>
                <w:rFonts w:ascii="Century Gothic" w:eastAsia="Quattrocento Sans" w:hAnsi="Century Gothic" w:cs="Segoe UI"/>
                <w:b/>
                <w:i/>
                <w:sz w:val="21"/>
                <w:szCs w:val="21"/>
                <w:u w:val="single"/>
              </w:rPr>
              <w:t xml:space="preserve">Cuando se trate de delitos contra la libertad, integridad y formación sexuales, o el delito consagrado en el artículo 237, cometidos en menores de 18 años, la acción penal será imprescriptible. </w:t>
            </w:r>
          </w:p>
          <w:p w14:paraId="11282FAD" w14:textId="77777777" w:rsidR="000E187E" w:rsidRPr="00EA0161" w:rsidRDefault="000E187E" w:rsidP="000E187E">
            <w:pPr>
              <w:spacing w:line="276" w:lineRule="auto"/>
              <w:jc w:val="both"/>
              <w:rPr>
                <w:rFonts w:ascii="Century Gothic" w:eastAsia="Quattrocento Sans" w:hAnsi="Century Gothic" w:cs="Segoe UI"/>
                <w:i/>
                <w:sz w:val="21"/>
                <w:szCs w:val="21"/>
              </w:rPr>
            </w:pPr>
            <w:r w:rsidRPr="00EA0161">
              <w:rPr>
                <w:rFonts w:ascii="Century Gothic" w:eastAsia="Quattrocento Sans" w:hAnsi="Century Gothic" w:cs="Segoe UI"/>
                <w:i/>
                <w:sz w:val="21"/>
                <w:szCs w:val="21"/>
              </w:rPr>
              <w:t>En las conductas punibles que tengan señalada pena no privativa de la libertad, la acción penal prescribirá en cinco (5) años.</w:t>
            </w:r>
          </w:p>
          <w:p w14:paraId="4DB9B725" w14:textId="77777777" w:rsidR="000E187E" w:rsidRPr="00EA0161" w:rsidRDefault="000E187E" w:rsidP="000E187E">
            <w:pPr>
              <w:spacing w:line="276" w:lineRule="auto"/>
              <w:rPr>
                <w:rFonts w:eastAsia="Times New Roman"/>
              </w:rPr>
            </w:pPr>
          </w:p>
          <w:p w14:paraId="68B3E23A" w14:textId="77777777" w:rsidR="000E187E" w:rsidRPr="000D37A0" w:rsidRDefault="000E187E" w:rsidP="000E187E">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Para este efecto se tendrán en cuenta las causales sustanciales modificadoras de la punibilidad. </w:t>
            </w:r>
          </w:p>
          <w:p w14:paraId="57FAB877" w14:textId="77777777" w:rsidR="000E187E" w:rsidRPr="000D37A0" w:rsidRDefault="000E187E" w:rsidP="00A56C76">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 </w:t>
            </w:r>
          </w:p>
          <w:p w14:paraId="48838E90" w14:textId="77777777" w:rsidR="000E187E" w:rsidRPr="000D37A0" w:rsidRDefault="000E187E" w:rsidP="00A56C76">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También se aumentará el término de prescripción, en la mitad, cuando la conducta </w:t>
            </w:r>
            <w:r w:rsidRPr="000D37A0">
              <w:rPr>
                <w:rFonts w:ascii="Century Gothic" w:eastAsia="Quattrocento Sans" w:hAnsi="Century Gothic" w:cs="Segoe UI"/>
                <w:i/>
                <w:sz w:val="21"/>
                <w:szCs w:val="21"/>
              </w:rPr>
              <w:lastRenderedPageBreak/>
              <w:t xml:space="preserve">punible se hubiere iniciado o consumado en el exterior. </w:t>
            </w:r>
          </w:p>
          <w:p w14:paraId="33449526" w14:textId="7A010246" w:rsidR="006E4654" w:rsidRDefault="000E187E" w:rsidP="00A56C76">
            <w:pPr>
              <w:spacing w:line="276" w:lineRule="auto"/>
              <w:jc w:val="both"/>
              <w:rPr>
                <w:rFonts w:ascii="Century Gothic" w:hAnsi="Century Gothic"/>
                <w:b/>
                <w:sz w:val="20"/>
                <w:szCs w:val="20"/>
              </w:rPr>
            </w:pPr>
            <w:r w:rsidRPr="000D37A0">
              <w:rPr>
                <w:rFonts w:ascii="Century Gothic" w:eastAsia="Quattrocento Sans" w:hAnsi="Century Gothic" w:cs="Segoe UI"/>
                <w:i/>
                <w:sz w:val="21"/>
                <w:szCs w:val="21"/>
              </w:rPr>
              <w:t>En todo caso, cuando se aumente el término de prescripción, no se excederá el límite máximo fijado.</w:t>
            </w:r>
          </w:p>
        </w:tc>
        <w:tc>
          <w:tcPr>
            <w:tcW w:w="2835" w:type="dxa"/>
          </w:tcPr>
          <w:p w14:paraId="3AC3B9C9" w14:textId="62FCC3DD" w:rsidR="00C95B26" w:rsidRPr="00226079" w:rsidRDefault="00C95B26" w:rsidP="00C95B26">
            <w:pPr>
              <w:spacing w:line="276" w:lineRule="auto"/>
              <w:jc w:val="both"/>
              <w:rPr>
                <w:rFonts w:ascii="Century Gothic" w:hAnsi="Century Gothic"/>
                <w:sz w:val="21"/>
                <w:szCs w:val="21"/>
              </w:rPr>
            </w:pPr>
            <w:r w:rsidRPr="00226079">
              <w:rPr>
                <w:rFonts w:ascii="Century Gothic" w:hAnsi="Century Gothic"/>
                <w:sz w:val="21"/>
                <w:szCs w:val="21"/>
              </w:rPr>
              <w:lastRenderedPageBreak/>
              <w:t>Teniendo en cuenta que los bienes jurídicos tutelados de los delitos de genocidio, lesa humanidad, y crímenes de guerra son diferentes a los delitos contra la libertad, integridad y formación sexuales, o el delito consagrado en el artículo 237, se dejan en incisos diferentes, ello con el fin de evitar una impre</w:t>
            </w:r>
            <w:r w:rsidR="000E6AC9" w:rsidRPr="00226079">
              <w:rPr>
                <w:rFonts w:ascii="Century Gothic" w:hAnsi="Century Gothic"/>
                <w:sz w:val="21"/>
                <w:szCs w:val="21"/>
              </w:rPr>
              <w:t>ci</w:t>
            </w:r>
            <w:r w:rsidRPr="00226079">
              <w:rPr>
                <w:rFonts w:ascii="Century Gothic" w:hAnsi="Century Gothic"/>
                <w:sz w:val="21"/>
                <w:szCs w:val="21"/>
              </w:rPr>
              <w:t xml:space="preserve">sión </w:t>
            </w:r>
            <w:r w:rsidR="00A03826" w:rsidRPr="00226079">
              <w:rPr>
                <w:rFonts w:ascii="Century Gothic" w:hAnsi="Century Gothic"/>
                <w:sz w:val="21"/>
                <w:szCs w:val="21"/>
              </w:rPr>
              <w:t xml:space="preserve">legislativa. </w:t>
            </w:r>
            <w:r w:rsidRPr="00226079">
              <w:rPr>
                <w:rFonts w:ascii="Century Gothic" w:hAnsi="Century Gothic"/>
                <w:sz w:val="21"/>
                <w:szCs w:val="21"/>
              </w:rPr>
              <w:t xml:space="preserve"> </w:t>
            </w:r>
          </w:p>
          <w:p w14:paraId="691A98EF" w14:textId="15AEF5F4" w:rsidR="00C95B26" w:rsidRPr="00C95B26" w:rsidRDefault="00C95B26" w:rsidP="00C95B26">
            <w:pPr>
              <w:rPr>
                <w:rFonts w:ascii="Century Gothic" w:hAnsi="Century Gothic"/>
                <w:sz w:val="20"/>
                <w:szCs w:val="20"/>
              </w:rPr>
            </w:pPr>
          </w:p>
        </w:tc>
      </w:tr>
    </w:tbl>
    <w:p w14:paraId="761F91A8" w14:textId="77777777" w:rsidR="00231373" w:rsidRPr="00231373" w:rsidRDefault="00231373" w:rsidP="00190F5D">
      <w:pPr>
        <w:pBdr>
          <w:top w:val="nil"/>
          <w:left w:val="nil"/>
          <w:bottom w:val="nil"/>
          <w:right w:val="nil"/>
          <w:between w:val="nil"/>
        </w:pBdr>
        <w:rPr>
          <w:rFonts w:ascii="Century Gothic" w:eastAsia="Quattrocento Sans" w:hAnsi="Century Gothic" w:cs="Segoe UI"/>
          <w:b/>
          <w:color w:val="000000"/>
          <w:sz w:val="21"/>
          <w:szCs w:val="21"/>
        </w:rPr>
      </w:pPr>
    </w:p>
    <w:p w14:paraId="2FF08CB7" w14:textId="77777777" w:rsidR="009C4495" w:rsidRPr="006E4654" w:rsidRDefault="009C4495" w:rsidP="00081074">
      <w:pPr>
        <w:shd w:val="clear" w:color="auto" w:fill="FFFFFF" w:themeFill="background1"/>
        <w:rPr>
          <w:rFonts w:ascii="Century Gothic" w:eastAsia="Quattrocento Sans" w:hAnsi="Century Gothic" w:cs="Segoe UI"/>
          <w:b/>
          <w:sz w:val="21"/>
          <w:szCs w:val="21"/>
        </w:rPr>
      </w:pPr>
    </w:p>
    <w:p w14:paraId="14882110" w14:textId="0B9FF3CC" w:rsidR="009C4495" w:rsidRPr="00635B07" w:rsidRDefault="00D51800" w:rsidP="00635B07">
      <w:pPr>
        <w:pStyle w:val="Prrafodelista"/>
        <w:numPr>
          <w:ilvl w:val="0"/>
          <w:numId w:val="37"/>
        </w:numPr>
        <w:jc w:val="center"/>
        <w:rPr>
          <w:rFonts w:ascii="Century Gothic" w:eastAsia="Quattrocento Sans" w:hAnsi="Century Gothic" w:cs="Segoe UI"/>
          <w:b/>
          <w:sz w:val="21"/>
          <w:szCs w:val="21"/>
        </w:rPr>
      </w:pPr>
      <w:r w:rsidRPr="00EF24D5">
        <w:rPr>
          <w:rFonts w:ascii="Century Gothic" w:eastAsia="Quattrocento Sans" w:hAnsi="Century Gothic" w:cs="Segoe UI"/>
          <w:b/>
          <w:sz w:val="21"/>
          <w:szCs w:val="21"/>
        </w:rPr>
        <w:t>PROPOSICIÓN</w:t>
      </w:r>
    </w:p>
    <w:p w14:paraId="7FE8D29D" w14:textId="4A5D8B94" w:rsidR="00D51800" w:rsidRDefault="00D51800" w:rsidP="00AC33AA">
      <w:pPr>
        <w:spacing w:before="240" w:after="240" w:line="276" w:lineRule="auto"/>
        <w:jc w:val="both"/>
        <w:rPr>
          <w:rFonts w:ascii="Century Gothic" w:eastAsia="Quattrocento Sans" w:hAnsi="Century Gothic" w:cs="Segoe UI"/>
          <w:sz w:val="21"/>
          <w:szCs w:val="21"/>
        </w:rPr>
      </w:pPr>
      <w:r w:rsidRPr="00196F70">
        <w:rPr>
          <w:rFonts w:ascii="Century Gothic" w:eastAsia="Quattrocento Sans" w:hAnsi="Century Gothic" w:cs="Segoe UI"/>
          <w:sz w:val="21"/>
          <w:szCs w:val="21"/>
        </w:rPr>
        <w:t xml:space="preserve">Por lo </w:t>
      </w:r>
      <w:r w:rsidR="004D0461">
        <w:rPr>
          <w:rFonts w:ascii="Century Gothic" w:eastAsia="Quattrocento Sans" w:hAnsi="Century Gothic" w:cs="Segoe UI"/>
          <w:sz w:val="21"/>
          <w:szCs w:val="21"/>
        </w:rPr>
        <w:t xml:space="preserve">anteriormente expuesto, </w:t>
      </w:r>
      <w:r w:rsidR="005301D7">
        <w:rPr>
          <w:rFonts w:ascii="Century Gothic" w:eastAsia="Quattrocento Sans" w:hAnsi="Century Gothic" w:cs="Segoe UI"/>
          <w:sz w:val="21"/>
          <w:szCs w:val="21"/>
        </w:rPr>
        <w:t>solicitamos</w:t>
      </w:r>
      <w:r w:rsidRPr="00196F70">
        <w:rPr>
          <w:rFonts w:ascii="Century Gothic" w:eastAsia="Quattrocento Sans" w:hAnsi="Century Gothic" w:cs="Segoe UI"/>
          <w:sz w:val="21"/>
          <w:szCs w:val="21"/>
        </w:rPr>
        <w:t xml:space="preserve"> a la Honorable </w:t>
      </w:r>
      <w:r w:rsidR="00725470">
        <w:rPr>
          <w:rFonts w:ascii="Century Gothic" w:eastAsia="Quattrocento Sans" w:hAnsi="Century Gothic" w:cs="Segoe UI"/>
          <w:sz w:val="21"/>
          <w:szCs w:val="21"/>
        </w:rPr>
        <w:t xml:space="preserve">Plenaria de la </w:t>
      </w:r>
      <w:r w:rsidRPr="00196F70">
        <w:rPr>
          <w:rFonts w:ascii="Century Gothic" w:eastAsia="Quattrocento Sans" w:hAnsi="Century Gothic" w:cs="Segoe UI"/>
          <w:sz w:val="21"/>
          <w:szCs w:val="21"/>
        </w:rPr>
        <w:t xml:space="preserve">Cámara de Representantes, </w:t>
      </w:r>
      <w:r w:rsidR="00725470">
        <w:rPr>
          <w:rFonts w:ascii="Century Gothic" w:eastAsia="Quattrocento Sans" w:hAnsi="Century Gothic" w:cs="Segoe UI"/>
          <w:b/>
          <w:sz w:val="21"/>
          <w:szCs w:val="21"/>
        </w:rPr>
        <w:t>dar segundo</w:t>
      </w:r>
      <w:r w:rsidRPr="005301D7">
        <w:rPr>
          <w:rFonts w:ascii="Century Gothic" w:eastAsia="Quattrocento Sans" w:hAnsi="Century Gothic" w:cs="Segoe UI"/>
          <w:b/>
          <w:sz w:val="21"/>
          <w:szCs w:val="21"/>
        </w:rPr>
        <w:t xml:space="preserve"> debate</w:t>
      </w:r>
      <w:r w:rsidRPr="00196F70">
        <w:rPr>
          <w:rFonts w:ascii="Century Gothic" w:eastAsia="Quattrocento Sans" w:hAnsi="Century Gothic" w:cs="Segoe UI"/>
          <w:sz w:val="21"/>
          <w:szCs w:val="21"/>
        </w:rPr>
        <w:t xml:space="preserve"> al </w:t>
      </w:r>
      <w:r w:rsidRPr="00CA6466">
        <w:rPr>
          <w:rFonts w:ascii="Century Gothic" w:eastAsia="Quattrocento Sans" w:hAnsi="Century Gothic" w:cs="Segoe UI"/>
          <w:sz w:val="21"/>
          <w:szCs w:val="21"/>
        </w:rPr>
        <w:t xml:space="preserve">Proyecto de Ley número 125 </w:t>
      </w:r>
      <w:r w:rsidR="00312F3C" w:rsidRPr="00CA6466">
        <w:rPr>
          <w:rFonts w:ascii="Century Gothic" w:eastAsia="Quattrocento Sans" w:hAnsi="Century Gothic" w:cs="Segoe UI"/>
          <w:sz w:val="21"/>
          <w:szCs w:val="21"/>
        </w:rPr>
        <w:t xml:space="preserve">de 2019 Cámara </w:t>
      </w:r>
      <w:r w:rsidR="00242FD9" w:rsidRPr="00CA6466">
        <w:rPr>
          <w:rFonts w:ascii="Century Gothic" w:eastAsia="Quattrocento Sans" w:hAnsi="Century Gothic" w:cs="Segoe UI"/>
          <w:sz w:val="21"/>
          <w:szCs w:val="21"/>
        </w:rPr>
        <w:t>acumulado con el Proyecto de Ley 180 de 2019 Cámara</w:t>
      </w:r>
      <w:r w:rsidR="00CA6466" w:rsidRPr="00CA6466">
        <w:rPr>
          <w:rFonts w:ascii="Century Gothic" w:eastAsia="Quattrocento Sans" w:hAnsi="Century Gothic" w:cs="Segoe UI"/>
          <w:sz w:val="21"/>
          <w:szCs w:val="21"/>
        </w:rPr>
        <w:t xml:space="preserve"> </w:t>
      </w:r>
      <w:r w:rsidR="00CA6466" w:rsidRPr="006E4654">
        <w:rPr>
          <w:rFonts w:ascii="Century Gothic" w:eastAsia="Quattrocento Sans" w:hAnsi="Century Gothic" w:cs="Segoe UI"/>
          <w:i/>
          <w:sz w:val="21"/>
          <w:szCs w:val="21"/>
        </w:rPr>
        <w:t xml:space="preserve">“Por la cual se declara imprescriptible la acción penal en caso de delitos contra la libertad, integridad y formación sexuales, o el delito consagrado en el artículo 237 de la Ley 599 de 2000, cometidos en menores de 18 años” - </w:t>
      </w:r>
      <w:r w:rsidR="00CA6466" w:rsidRPr="006E4654">
        <w:rPr>
          <w:rFonts w:ascii="Century Gothic" w:eastAsia="Quattrocento Sans" w:hAnsi="Century Gothic" w:cs="Segoe UI"/>
          <w:sz w:val="21"/>
          <w:szCs w:val="21"/>
        </w:rPr>
        <w:t>No más silencio</w:t>
      </w:r>
      <w:r w:rsidR="00231373">
        <w:rPr>
          <w:rFonts w:ascii="Century Gothic" w:eastAsia="Quattrocento Sans" w:hAnsi="Century Gothic" w:cs="Segoe UI"/>
          <w:i/>
          <w:sz w:val="21"/>
          <w:szCs w:val="21"/>
        </w:rPr>
        <w:t xml:space="preserve">, </w:t>
      </w:r>
      <w:r w:rsidR="003B5695" w:rsidRPr="003B5695">
        <w:rPr>
          <w:rFonts w:ascii="Century Gothic" w:eastAsia="Quattrocento Sans" w:hAnsi="Century Gothic" w:cs="Segoe UI"/>
          <w:sz w:val="21"/>
          <w:szCs w:val="21"/>
        </w:rPr>
        <w:t xml:space="preserve">junto </w:t>
      </w:r>
      <w:r w:rsidR="00231373" w:rsidRPr="003B5695">
        <w:rPr>
          <w:rFonts w:ascii="Century Gothic" w:eastAsia="Quattrocento Sans" w:hAnsi="Century Gothic" w:cs="Segoe UI"/>
          <w:sz w:val="21"/>
          <w:szCs w:val="21"/>
        </w:rPr>
        <w:t>con el pliego de modificaciones propuesto.</w:t>
      </w:r>
      <w:r w:rsidR="00231373" w:rsidRPr="00231373">
        <w:rPr>
          <w:rFonts w:ascii="Century Gothic" w:eastAsia="Quattrocento Sans" w:hAnsi="Century Gothic" w:cs="Segoe UI"/>
          <w:sz w:val="21"/>
          <w:szCs w:val="21"/>
        </w:rPr>
        <w:t xml:space="preserve"> </w:t>
      </w:r>
    </w:p>
    <w:p w14:paraId="2CF14AB9" w14:textId="77777777" w:rsidR="004858FE" w:rsidRPr="00793F85" w:rsidRDefault="004858FE" w:rsidP="004858FE">
      <w:pPr>
        <w:spacing w:after="240" w:line="276" w:lineRule="auto"/>
        <w:jc w:val="both"/>
        <w:rPr>
          <w:rFonts w:ascii="Century Gothic" w:hAnsi="Century Gothic"/>
          <w:sz w:val="21"/>
          <w:szCs w:val="21"/>
        </w:rPr>
      </w:pPr>
      <w:r w:rsidRPr="00793F85">
        <w:rPr>
          <w:rFonts w:ascii="Century Gothic" w:hAnsi="Century Gothic"/>
          <w:sz w:val="21"/>
          <w:szCs w:val="21"/>
        </w:rPr>
        <w:t xml:space="preserve">Cordialmente, </w:t>
      </w:r>
    </w:p>
    <w:p w14:paraId="22319958" w14:textId="03977635" w:rsidR="004858FE" w:rsidRDefault="004858FE" w:rsidP="004858FE">
      <w:pPr>
        <w:jc w:val="both"/>
        <w:rPr>
          <w:rFonts w:ascii="Century Gothic" w:hAnsi="Century Gothic"/>
          <w:sz w:val="21"/>
          <w:szCs w:val="21"/>
        </w:rPr>
      </w:pPr>
    </w:p>
    <w:p w14:paraId="1C50973F" w14:textId="5F95F9CD" w:rsidR="00822B88" w:rsidRDefault="00822B88" w:rsidP="00822B88">
      <w:pPr>
        <w:jc w:val="both"/>
        <w:rPr>
          <w:rFonts w:ascii="Century Gothic" w:hAnsi="Century Gothic"/>
          <w:sz w:val="21"/>
          <w:szCs w:val="21"/>
        </w:rPr>
      </w:pPr>
    </w:p>
    <w:p w14:paraId="179D1E2B" w14:textId="77777777" w:rsidR="00231373" w:rsidRDefault="00231373" w:rsidP="00822B88">
      <w:pPr>
        <w:jc w:val="both"/>
        <w:rPr>
          <w:rFonts w:ascii="Century Gothic" w:hAnsi="Century Gothic"/>
          <w:sz w:val="21"/>
          <w:szCs w:val="21"/>
        </w:rPr>
      </w:pPr>
    </w:p>
    <w:p w14:paraId="5AC7135E" w14:textId="77777777" w:rsidR="00822B88" w:rsidRPr="0070360C" w:rsidRDefault="00822B88" w:rsidP="00822B88">
      <w:pPr>
        <w:rPr>
          <w:rFonts w:ascii="Century Gothic" w:eastAsia="Quattrocento Sans" w:hAnsi="Century Gothic" w:cs="Segoe UI"/>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JULIÁN PEINADO RAMÍREZ - C</w:t>
      </w:r>
      <w:r>
        <w:rPr>
          <w:rFonts w:ascii="Century Gothic" w:eastAsia="Quattrocento Sans" w:hAnsi="Century Gothic" w:cs="Segoe UI"/>
          <w:sz w:val="21"/>
          <w:szCs w:val="21"/>
        </w:rPr>
        <w:t xml:space="preserve">                                    </w:t>
      </w:r>
      <w:r w:rsidRPr="0070360C">
        <w:rPr>
          <w:rFonts w:ascii="Century Gothic" w:eastAsia="Quattrocento Sans" w:hAnsi="Century Gothic" w:cs="Segoe UI"/>
          <w:b/>
          <w:sz w:val="21"/>
          <w:szCs w:val="21"/>
        </w:rPr>
        <w:t>ADRIANA MAGALI MATIZ VARGAS - C</w:t>
      </w:r>
    </w:p>
    <w:p w14:paraId="223EE1EE" w14:textId="77777777" w:rsidR="00822B88" w:rsidRDefault="00822B88" w:rsidP="00822B88">
      <w:pPr>
        <w:spacing w:line="276" w:lineRule="auto"/>
        <w:rPr>
          <w:rFonts w:ascii="Century Gothic" w:eastAsia="Quattrocento Sans" w:hAnsi="Century Gothic" w:cs="Segoe UI"/>
          <w:sz w:val="21"/>
          <w:szCs w:val="21"/>
        </w:rPr>
      </w:pPr>
      <w:r>
        <w:rPr>
          <w:rFonts w:ascii="Century Gothic" w:eastAsia="Quattrocento Sans" w:hAnsi="Century Gothic" w:cs="Segoe UI"/>
          <w:sz w:val="21"/>
          <w:szCs w:val="21"/>
        </w:rPr>
        <w:t xml:space="preserve">  Representante a la Cámara                                              Representante a la Cámara</w:t>
      </w:r>
    </w:p>
    <w:p w14:paraId="59CF868E" w14:textId="109C7C35" w:rsidR="00822B88" w:rsidRPr="00196F70" w:rsidRDefault="00822B88" w:rsidP="00231373">
      <w:pPr>
        <w:spacing w:line="276" w:lineRule="auto"/>
        <w:rPr>
          <w:rFonts w:ascii="Century Gothic" w:eastAsia="Quattrocento Sans" w:hAnsi="Century Gothic" w:cs="Segoe UI"/>
          <w:sz w:val="21"/>
          <w:szCs w:val="21"/>
        </w:rPr>
      </w:pPr>
    </w:p>
    <w:p w14:paraId="0969D426" w14:textId="019B124B" w:rsidR="00822B88" w:rsidRDefault="00822B88" w:rsidP="00822B88">
      <w:pPr>
        <w:spacing w:line="276" w:lineRule="auto"/>
        <w:jc w:val="center"/>
        <w:rPr>
          <w:rFonts w:ascii="Century Gothic" w:eastAsia="Quattrocento Sans" w:hAnsi="Century Gothic" w:cs="Segoe UI"/>
          <w:sz w:val="21"/>
          <w:szCs w:val="21"/>
        </w:rPr>
      </w:pPr>
    </w:p>
    <w:p w14:paraId="35198357" w14:textId="77777777" w:rsidR="00231373" w:rsidRDefault="00231373" w:rsidP="00822B88">
      <w:pPr>
        <w:spacing w:line="276" w:lineRule="auto"/>
        <w:jc w:val="center"/>
        <w:rPr>
          <w:rFonts w:ascii="Century Gothic" w:eastAsia="Quattrocento Sans" w:hAnsi="Century Gothic" w:cs="Segoe UI"/>
          <w:sz w:val="21"/>
          <w:szCs w:val="21"/>
        </w:rPr>
      </w:pPr>
    </w:p>
    <w:p w14:paraId="3BFC721F" w14:textId="77777777" w:rsidR="00822B88" w:rsidRPr="00672A4B" w:rsidRDefault="00822B88"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ELBERT DÍAZ LOZANO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MARGARITA MARÍA RESTREPO</w:t>
      </w:r>
      <w:r>
        <w:rPr>
          <w:rFonts w:ascii="Century Gothic" w:eastAsia="Quattrocento Sans" w:hAnsi="Century Gothic" w:cs="Segoe UI"/>
          <w:b/>
          <w:sz w:val="21"/>
          <w:szCs w:val="21"/>
        </w:rPr>
        <w:t xml:space="preserve">                 </w:t>
      </w:r>
      <w:r>
        <w:rPr>
          <w:rFonts w:ascii="Century Gothic" w:eastAsia="Quattrocento Sans" w:hAnsi="Century Gothic" w:cs="Segoe UI"/>
          <w:sz w:val="21"/>
          <w:szCs w:val="21"/>
        </w:rPr>
        <w:t>Representante a la Cámara                                                 Representante a la Cámara</w:t>
      </w:r>
    </w:p>
    <w:p w14:paraId="5EB2F191" w14:textId="77777777" w:rsidR="00822B88" w:rsidRDefault="00822B88" w:rsidP="00822B88">
      <w:pPr>
        <w:spacing w:line="276" w:lineRule="auto"/>
        <w:jc w:val="center"/>
        <w:rPr>
          <w:rFonts w:ascii="Century Gothic" w:eastAsia="Quattrocento Sans" w:hAnsi="Century Gothic" w:cs="Segoe UI"/>
          <w:sz w:val="21"/>
          <w:szCs w:val="21"/>
        </w:rPr>
      </w:pPr>
    </w:p>
    <w:p w14:paraId="5FE081EE" w14:textId="2ED06E02" w:rsidR="00822B88" w:rsidRDefault="00822B88" w:rsidP="00231373">
      <w:pPr>
        <w:spacing w:line="276" w:lineRule="auto"/>
        <w:rPr>
          <w:rFonts w:ascii="Century Gothic" w:eastAsia="Quattrocento Sans" w:hAnsi="Century Gothic" w:cs="Segoe UI"/>
          <w:sz w:val="21"/>
          <w:szCs w:val="21"/>
        </w:rPr>
      </w:pPr>
    </w:p>
    <w:p w14:paraId="0D191A0F" w14:textId="77777777" w:rsidR="00231373" w:rsidRDefault="00231373" w:rsidP="00231373">
      <w:pPr>
        <w:spacing w:line="276" w:lineRule="auto"/>
        <w:rPr>
          <w:rFonts w:ascii="Century Gothic" w:eastAsia="Quattrocento Sans" w:hAnsi="Century Gothic" w:cs="Segoe UI"/>
          <w:sz w:val="21"/>
          <w:szCs w:val="21"/>
        </w:rPr>
      </w:pPr>
    </w:p>
    <w:p w14:paraId="42E58005" w14:textId="759A25D8" w:rsidR="00822B88" w:rsidRPr="0070360C" w:rsidRDefault="00822B88"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00D666B6">
        <w:rPr>
          <w:rFonts w:ascii="Century Gothic" w:eastAsia="Quattrocento Sans" w:hAnsi="Century Gothic" w:cs="Segoe UI"/>
          <w:b/>
          <w:sz w:val="21"/>
          <w:szCs w:val="21"/>
        </w:rPr>
        <w:t>JULIO</w:t>
      </w:r>
      <w:r w:rsidR="00190F5D">
        <w:rPr>
          <w:rFonts w:ascii="Century Gothic" w:eastAsia="Quattrocento Sans" w:hAnsi="Century Gothic" w:cs="Segoe UI"/>
          <w:b/>
          <w:sz w:val="21"/>
          <w:szCs w:val="21"/>
        </w:rPr>
        <w:t xml:space="preserve"> CE</w:t>
      </w:r>
      <w:r w:rsidRPr="0070360C">
        <w:rPr>
          <w:rFonts w:ascii="Century Gothic" w:eastAsia="Quattrocento Sans" w:hAnsi="Century Gothic" w:cs="Segoe UI"/>
          <w:b/>
          <w:sz w:val="21"/>
          <w:szCs w:val="21"/>
        </w:rPr>
        <w:t xml:space="preserve">SAR TRIANA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  INTI RAÚL ASPRILLA REYES</w:t>
      </w:r>
    </w:p>
    <w:p w14:paraId="796D239E" w14:textId="77777777" w:rsidR="00822B88" w:rsidRPr="00196F70" w:rsidRDefault="00822B88" w:rsidP="00822B88">
      <w:pPr>
        <w:spacing w:line="276" w:lineRule="auto"/>
        <w:rPr>
          <w:rFonts w:ascii="Century Gothic" w:eastAsia="Quattrocento Sans" w:hAnsi="Century Gothic" w:cs="Segoe UI"/>
          <w:sz w:val="21"/>
          <w:szCs w:val="21"/>
        </w:rPr>
      </w:pPr>
      <w:r>
        <w:rPr>
          <w:rFonts w:ascii="Century Gothic" w:eastAsia="Quattrocento Sans" w:hAnsi="Century Gothic" w:cs="Segoe UI"/>
          <w:sz w:val="21"/>
          <w:szCs w:val="21"/>
        </w:rPr>
        <w:t xml:space="preserve">  Representante a la Cámara                                               Representante a la Cámara</w:t>
      </w:r>
    </w:p>
    <w:p w14:paraId="6AFC6280" w14:textId="77777777" w:rsidR="00822B88" w:rsidRDefault="00822B88" w:rsidP="00822B88">
      <w:pPr>
        <w:spacing w:line="276" w:lineRule="auto"/>
        <w:jc w:val="center"/>
        <w:rPr>
          <w:rFonts w:ascii="Century Gothic" w:eastAsia="Quattrocento Sans" w:hAnsi="Century Gothic" w:cs="Segoe UI"/>
          <w:sz w:val="21"/>
          <w:szCs w:val="21"/>
        </w:rPr>
      </w:pPr>
    </w:p>
    <w:p w14:paraId="6F5BBD50" w14:textId="77777777" w:rsidR="00822B88" w:rsidRPr="00196F70" w:rsidRDefault="00822B88" w:rsidP="00822B88">
      <w:pPr>
        <w:spacing w:line="276" w:lineRule="auto"/>
        <w:jc w:val="center"/>
        <w:rPr>
          <w:rFonts w:ascii="Century Gothic" w:eastAsia="Quattrocento Sans" w:hAnsi="Century Gothic" w:cs="Segoe UI"/>
          <w:sz w:val="21"/>
          <w:szCs w:val="21"/>
        </w:rPr>
      </w:pPr>
    </w:p>
    <w:p w14:paraId="2D7A86CC" w14:textId="77777777" w:rsidR="00822B88" w:rsidRDefault="00822B88" w:rsidP="00822B88">
      <w:pPr>
        <w:spacing w:line="276" w:lineRule="auto"/>
        <w:jc w:val="center"/>
        <w:rPr>
          <w:rFonts w:ascii="Century Gothic" w:eastAsia="Quattrocento Sans" w:hAnsi="Century Gothic" w:cs="Segoe UI"/>
          <w:sz w:val="21"/>
          <w:szCs w:val="21"/>
        </w:rPr>
      </w:pPr>
    </w:p>
    <w:p w14:paraId="509206C4" w14:textId="77777777" w:rsidR="00822B88" w:rsidRPr="0070360C" w:rsidRDefault="00822B88"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LUIS ALBERTO ALBÁN</w:t>
      </w:r>
      <w:r>
        <w:rPr>
          <w:rFonts w:ascii="Century Gothic" w:eastAsia="Quattrocento Sans" w:hAnsi="Century Gothic" w:cs="Segoe UI"/>
          <w:b/>
          <w:sz w:val="21"/>
          <w:szCs w:val="21"/>
        </w:rPr>
        <w:t xml:space="preserve">                                            HARRY GIOVANNY GONZÁLEZ GARCÍA                               </w:t>
      </w:r>
    </w:p>
    <w:p w14:paraId="6E76A1CB" w14:textId="737B28EF" w:rsidR="00A02C0E" w:rsidRDefault="00822B88" w:rsidP="00A02C0E">
      <w:pPr>
        <w:spacing w:line="276" w:lineRule="auto"/>
        <w:rPr>
          <w:rFonts w:ascii="Century Gothic" w:eastAsia="Quattrocento Sans" w:hAnsi="Century Gothic" w:cs="Segoe UI"/>
          <w:sz w:val="21"/>
          <w:szCs w:val="21"/>
        </w:rPr>
      </w:pPr>
      <w:r>
        <w:rPr>
          <w:rFonts w:ascii="Century Gothic" w:eastAsia="Quattrocento Sans" w:hAnsi="Century Gothic" w:cs="Segoe UI"/>
          <w:sz w:val="21"/>
          <w:szCs w:val="21"/>
        </w:rPr>
        <w:t>Representante a la Cámara                                                  Representante a la Cámara</w:t>
      </w:r>
    </w:p>
    <w:p w14:paraId="09B29C90" w14:textId="77777777" w:rsidR="00595B6F" w:rsidRDefault="00595B6F" w:rsidP="00A02C0E">
      <w:pPr>
        <w:spacing w:line="276" w:lineRule="auto"/>
        <w:rPr>
          <w:rFonts w:ascii="Century Gothic" w:eastAsia="Quattrocento Sans" w:hAnsi="Century Gothic" w:cs="Segoe UI"/>
          <w:sz w:val="21"/>
          <w:szCs w:val="21"/>
        </w:rPr>
      </w:pPr>
    </w:p>
    <w:p w14:paraId="242D0207" w14:textId="77777777" w:rsidR="00595B6F" w:rsidRDefault="00595B6F" w:rsidP="00A02C0E">
      <w:pPr>
        <w:spacing w:line="276" w:lineRule="auto"/>
        <w:rPr>
          <w:rFonts w:ascii="Century Gothic" w:eastAsia="Quattrocento Sans" w:hAnsi="Century Gothic" w:cs="Segoe UI"/>
          <w:sz w:val="21"/>
          <w:szCs w:val="21"/>
        </w:rPr>
      </w:pPr>
    </w:p>
    <w:p w14:paraId="6F8220FE" w14:textId="77777777" w:rsidR="00595B6F" w:rsidRDefault="00595B6F" w:rsidP="00A02C0E">
      <w:pPr>
        <w:spacing w:line="276" w:lineRule="auto"/>
        <w:rPr>
          <w:rFonts w:ascii="Century Gothic" w:eastAsia="Quattrocento Sans" w:hAnsi="Century Gothic" w:cs="Segoe UI"/>
          <w:b/>
          <w:sz w:val="21"/>
          <w:szCs w:val="21"/>
        </w:rPr>
      </w:pPr>
    </w:p>
    <w:p w14:paraId="2217279F" w14:textId="53A3E31C" w:rsidR="000856E0" w:rsidRPr="006E4654" w:rsidRDefault="001360F9" w:rsidP="00635B07">
      <w:pPr>
        <w:pStyle w:val="Prrafodelista"/>
        <w:numPr>
          <w:ilvl w:val="0"/>
          <w:numId w:val="37"/>
        </w:numPr>
        <w:jc w:val="center"/>
        <w:rPr>
          <w:rFonts w:ascii="Century Gothic" w:eastAsia="Quattrocento Sans" w:hAnsi="Century Gothic" w:cs="Segoe UI"/>
          <w:b/>
          <w:sz w:val="21"/>
          <w:szCs w:val="21"/>
        </w:rPr>
      </w:pPr>
      <w:r w:rsidRPr="00635B07">
        <w:rPr>
          <w:rFonts w:ascii="Century Gothic" w:eastAsia="Quattrocento Sans" w:hAnsi="Century Gothic" w:cs="Segoe UI"/>
          <w:b/>
          <w:sz w:val="21"/>
          <w:szCs w:val="21"/>
        </w:rPr>
        <w:lastRenderedPageBreak/>
        <w:t xml:space="preserve">TEXTO PROPUESTO </w:t>
      </w:r>
      <w:r w:rsidR="00635B07" w:rsidRPr="00635B07">
        <w:rPr>
          <w:rFonts w:ascii="Century Gothic" w:eastAsia="Quattrocento Sans" w:hAnsi="Century Gothic" w:cs="Segoe UI"/>
          <w:b/>
          <w:sz w:val="21"/>
          <w:szCs w:val="21"/>
        </w:rPr>
        <w:t xml:space="preserve">PARA </w:t>
      </w:r>
      <w:r w:rsidR="00635B07">
        <w:rPr>
          <w:rFonts w:ascii="Century Gothic" w:eastAsia="Quattrocento Sans" w:hAnsi="Century Gothic" w:cs="Segoe UI"/>
          <w:b/>
          <w:sz w:val="21"/>
          <w:szCs w:val="21"/>
        </w:rPr>
        <w:t>SEGUNDO</w:t>
      </w:r>
      <w:r w:rsidR="00635B07" w:rsidRPr="00635B07">
        <w:rPr>
          <w:rFonts w:ascii="Century Gothic" w:eastAsia="Quattrocento Sans" w:hAnsi="Century Gothic" w:cs="Segoe UI"/>
          <w:b/>
          <w:sz w:val="21"/>
          <w:szCs w:val="21"/>
        </w:rPr>
        <w:t xml:space="preserve"> </w:t>
      </w:r>
      <w:r w:rsidRPr="00635B07">
        <w:rPr>
          <w:rFonts w:ascii="Century Gothic" w:eastAsia="Quattrocento Sans" w:hAnsi="Century Gothic" w:cs="Segoe UI"/>
          <w:b/>
          <w:sz w:val="21"/>
          <w:szCs w:val="21"/>
        </w:rPr>
        <w:t xml:space="preserve">DEBATE AL PROYECTO DE LEY NÚMERO 125 DE 2019 CÁMARA ACUMULADO CON EL PROYECTO DE LEY NÚMERO 180 DE </w:t>
      </w:r>
      <w:r w:rsidRPr="006E4654">
        <w:rPr>
          <w:rFonts w:ascii="Century Gothic" w:eastAsia="Quattrocento Sans" w:hAnsi="Century Gothic" w:cs="Segoe UI"/>
          <w:b/>
          <w:sz w:val="21"/>
          <w:szCs w:val="21"/>
        </w:rPr>
        <w:t>2019 CÁMARA</w:t>
      </w:r>
    </w:p>
    <w:p w14:paraId="1174E6C8" w14:textId="3DFC5ACF" w:rsidR="00231373" w:rsidRPr="00231373" w:rsidRDefault="00231373" w:rsidP="000856E0">
      <w:pPr>
        <w:spacing w:before="240" w:after="240" w:line="276" w:lineRule="auto"/>
        <w:jc w:val="center"/>
        <w:rPr>
          <w:rFonts w:ascii="Century Gothic" w:eastAsia="Quattrocento Sans" w:hAnsi="Century Gothic" w:cs="Segoe UI"/>
          <w:sz w:val="21"/>
          <w:szCs w:val="21"/>
        </w:rPr>
      </w:pPr>
      <w:r w:rsidRPr="006E4654">
        <w:rPr>
          <w:rFonts w:ascii="Century Gothic" w:eastAsia="Quattrocento Sans" w:hAnsi="Century Gothic" w:cs="Segoe UI"/>
          <w:i/>
          <w:sz w:val="21"/>
          <w:szCs w:val="21"/>
        </w:rPr>
        <w:t>“Por la cual se declara imprescriptible la acción penal en caso de delitos contra la libertad, integridad y formación sexuales, o el delito consagrado en el artículo 237 de la Ley 599 de 2000, cometidos en menores de 18 años</w:t>
      </w:r>
      <w:r w:rsidR="00C7509C" w:rsidRPr="006E4654">
        <w:rPr>
          <w:rFonts w:ascii="Century Gothic" w:eastAsia="Quattrocento Sans" w:hAnsi="Century Gothic" w:cs="Segoe UI"/>
          <w:i/>
          <w:sz w:val="21"/>
          <w:szCs w:val="21"/>
        </w:rPr>
        <w:t>”</w:t>
      </w:r>
      <w:r w:rsidRPr="006E4654">
        <w:rPr>
          <w:rFonts w:ascii="Century Gothic" w:eastAsia="Quattrocento Sans" w:hAnsi="Century Gothic" w:cs="Segoe UI"/>
          <w:i/>
          <w:sz w:val="21"/>
          <w:szCs w:val="21"/>
        </w:rPr>
        <w:t xml:space="preserve"> - </w:t>
      </w:r>
      <w:r w:rsidRPr="006E4654">
        <w:rPr>
          <w:rFonts w:ascii="Century Gothic" w:eastAsia="Quattrocento Sans" w:hAnsi="Century Gothic" w:cs="Segoe UI"/>
          <w:sz w:val="21"/>
          <w:szCs w:val="21"/>
        </w:rPr>
        <w:t>No más silencio</w:t>
      </w:r>
    </w:p>
    <w:p w14:paraId="009A95CF" w14:textId="69BCF7A2" w:rsidR="000856E0" w:rsidRPr="00196F70" w:rsidRDefault="000856E0" w:rsidP="000856E0">
      <w:pPr>
        <w:spacing w:before="240" w:after="240"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sz w:val="21"/>
          <w:szCs w:val="21"/>
        </w:rPr>
        <w:t xml:space="preserve">El Congreso de la República </w:t>
      </w:r>
    </w:p>
    <w:p w14:paraId="4571DDCC" w14:textId="77777777" w:rsidR="000856E0" w:rsidRPr="00196F70" w:rsidRDefault="000856E0" w:rsidP="000856E0">
      <w:pPr>
        <w:spacing w:before="240" w:after="240" w:line="276" w:lineRule="auto"/>
        <w:jc w:val="center"/>
        <w:rPr>
          <w:rFonts w:ascii="Century Gothic" w:eastAsia="Quattrocento Sans" w:hAnsi="Century Gothic" w:cs="Segoe UI"/>
          <w:sz w:val="21"/>
          <w:szCs w:val="21"/>
        </w:rPr>
      </w:pPr>
      <w:r w:rsidRPr="00196F70">
        <w:rPr>
          <w:rFonts w:ascii="Century Gothic" w:eastAsia="Quattrocento Sans" w:hAnsi="Century Gothic" w:cs="Segoe UI"/>
          <w:sz w:val="21"/>
          <w:szCs w:val="21"/>
        </w:rPr>
        <w:t>DECRETA:</w:t>
      </w:r>
    </w:p>
    <w:p w14:paraId="309D7083" w14:textId="77777777" w:rsidR="000D37A0" w:rsidRPr="000D37A0" w:rsidRDefault="000D37A0" w:rsidP="001360F9">
      <w:pPr>
        <w:jc w:val="both"/>
        <w:rPr>
          <w:rFonts w:ascii="Century Gothic" w:eastAsia="Quattrocento Sans" w:hAnsi="Century Gothic" w:cs="Segoe UI"/>
          <w:b/>
          <w:sz w:val="21"/>
          <w:szCs w:val="21"/>
        </w:rPr>
      </w:pPr>
    </w:p>
    <w:p w14:paraId="3C7C4F09" w14:textId="25E5FF6F" w:rsidR="000D37A0" w:rsidRPr="000D37A0" w:rsidRDefault="000D37A0" w:rsidP="00875C16">
      <w:pPr>
        <w:spacing w:after="240" w:line="276" w:lineRule="auto"/>
        <w:jc w:val="both"/>
        <w:rPr>
          <w:rFonts w:ascii="Century Gothic" w:eastAsia="Quattrocento Sans" w:hAnsi="Century Gothic" w:cs="Segoe UI"/>
          <w:b/>
          <w:sz w:val="21"/>
          <w:szCs w:val="21"/>
        </w:rPr>
      </w:pPr>
      <w:r w:rsidRPr="000D37A0">
        <w:rPr>
          <w:rFonts w:ascii="Century Gothic" w:eastAsia="Quattrocento Sans" w:hAnsi="Century Gothic" w:cs="Segoe UI"/>
          <w:b/>
          <w:sz w:val="21"/>
          <w:szCs w:val="21"/>
        </w:rPr>
        <w:t xml:space="preserve">ARTÍCULO 1. </w:t>
      </w:r>
      <w:r w:rsidRPr="000D37A0">
        <w:rPr>
          <w:rFonts w:ascii="Century Gothic" w:eastAsia="Quattrocento Sans" w:hAnsi="Century Gothic" w:cs="Segoe UI"/>
          <w:sz w:val="21"/>
          <w:szCs w:val="21"/>
        </w:rPr>
        <w:t>Modifíquese el artículo 83 de la Ley 599 del 2000 “Por la cual se expide e</w:t>
      </w:r>
      <w:r w:rsidR="009B4BF4">
        <w:rPr>
          <w:rFonts w:ascii="Century Gothic" w:eastAsia="Quattrocento Sans" w:hAnsi="Century Gothic" w:cs="Segoe UI"/>
          <w:sz w:val="21"/>
          <w:szCs w:val="21"/>
        </w:rPr>
        <w:t>l Código Penal”, el cual quedará</w:t>
      </w:r>
      <w:r w:rsidRPr="000D37A0">
        <w:rPr>
          <w:rFonts w:ascii="Century Gothic" w:eastAsia="Quattrocento Sans" w:hAnsi="Century Gothic" w:cs="Segoe UI"/>
          <w:sz w:val="21"/>
          <w:szCs w:val="21"/>
        </w:rPr>
        <w:t xml:space="preserve"> así:</w:t>
      </w:r>
      <w:r>
        <w:rPr>
          <w:rFonts w:ascii="Century Gothic" w:eastAsia="Quattrocento Sans" w:hAnsi="Century Gothic" w:cs="Segoe UI"/>
          <w:b/>
          <w:sz w:val="21"/>
          <w:szCs w:val="21"/>
        </w:rPr>
        <w:t xml:space="preserve"> </w:t>
      </w:r>
    </w:p>
    <w:p w14:paraId="07F0D554" w14:textId="77777777" w:rsidR="000D37A0" w:rsidRPr="000D37A0" w:rsidRDefault="000D37A0" w:rsidP="00875C16">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b/>
          <w:i/>
          <w:sz w:val="21"/>
          <w:szCs w:val="21"/>
        </w:rPr>
        <w:t xml:space="preserve">ARTICULO 83. TERMINO DE PRESCRIPCION DE LA ACCION PENAL. </w:t>
      </w:r>
      <w:r w:rsidRPr="000D37A0">
        <w:rPr>
          <w:rFonts w:ascii="Century Gothic" w:eastAsia="Quattrocento Sans" w:hAnsi="Century Gothic" w:cs="Segoe UI"/>
          <w:i/>
          <w:sz w:val="21"/>
          <w:szCs w:val="21"/>
        </w:rPr>
        <w:t xml:space="preserve">La acción penal prescribirá en un tiempo igual al máximo de la pena fijada en la ley, si fuere privativa de la libertad, pero en ningún caso será inferior a cinco (5) años, ni excederá de veinte (20), salvo lo dispuesto en el inciso siguiente de este artículo. </w:t>
      </w:r>
    </w:p>
    <w:p w14:paraId="3D34AED0" w14:textId="77777777" w:rsidR="000D37A0" w:rsidRPr="00CA6466" w:rsidRDefault="000D37A0" w:rsidP="00875C16">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w:t>
      </w:r>
      <w:r w:rsidRPr="00CA6466">
        <w:rPr>
          <w:rFonts w:ascii="Century Gothic" w:eastAsia="Quattrocento Sans" w:hAnsi="Century Gothic" w:cs="Segoe UI"/>
          <w:i/>
          <w:sz w:val="21"/>
          <w:szCs w:val="21"/>
        </w:rPr>
        <w:t>ejecución permanente el término de prescripción comenzará a correr desde la perpetración del último acto. La acción penal para los delitos de genocidio, lesa humanidad, y crímenes de guerra será imprescriptible</w:t>
      </w:r>
    </w:p>
    <w:p w14:paraId="29233D5A" w14:textId="283127F3" w:rsidR="000D37A0" w:rsidRDefault="000D37A0" w:rsidP="00875C16">
      <w:pPr>
        <w:spacing w:after="240" w:line="276" w:lineRule="auto"/>
        <w:jc w:val="both"/>
        <w:rPr>
          <w:rFonts w:ascii="Century Gothic" w:eastAsia="Quattrocento Sans" w:hAnsi="Century Gothic" w:cs="Segoe UI"/>
          <w:i/>
          <w:sz w:val="21"/>
          <w:szCs w:val="21"/>
        </w:rPr>
      </w:pPr>
      <w:r w:rsidRPr="00CA6466">
        <w:rPr>
          <w:rFonts w:ascii="Century Gothic" w:eastAsia="Quattrocento Sans" w:hAnsi="Century Gothic" w:cs="Segoe UI"/>
          <w:i/>
          <w:sz w:val="21"/>
          <w:szCs w:val="21"/>
        </w:rPr>
        <w:t>Cuando se trate de delitos contra la libertad, integridad y formación sexuales, o el delito consagrado en el artículo 237,</w:t>
      </w:r>
      <w:r w:rsidR="00E63B30" w:rsidRPr="00CA6466">
        <w:rPr>
          <w:rFonts w:ascii="Century Gothic" w:eastAsia="Quattrocento Sans" w:hAnsi="Century Gothic" w:cs="Segoe UI"/>
          <w:i/>
          <w:sz w:val="21"/>
          <w:szCs w:val="21"/>
        </w:rPr>
        <w:t xml:space="preserve"> cometidos en </w:t>
      </w:r>
      <w:r w:rsidR="00EF24D5" w:rsidRPr="00CA6466">
        <w:rPr>
          <w:rFonts w:ascii="Century Gothic" w:eastAsia="Quattrocento Sans" w:hAnsi="Century Gothic" w:cs="Segoe UI"/>
          <w:i/>
          <w:sz w:val="21"/>
          <w:szCs w:val="21"/>
        </w:rPr>
        <w:t>menores de 18 años</w:t>
      </w:r>
      <w:r w:rsidRPr="00CA6466">
        <w:rPr>
          <w:rFonts w:ascii="Century Gothic" w:eastAsia="Quattrocento Sans" w:hAnsi="Century Gothic" w:cs="Segoe UI"/>
          <w:i/>
          <w:sz w:val="21"/>
          <w:szCs w:val="21"/>
        </w:rPr>
        <w:t>, la acción penal será imprescriptible.</w:t>
      </w:r>
      <w:r w:rsidRPr="009B4BF4">
        <w:rPr>
          <w:rFonts w:ascii="Century Gothic" w:eastAsia="Quattrocento Sans" w:hAnsi="Century Gothic" w:cs="Segoe UI"/>
          <w:i/>
          <w:sz w:val="21"/>
          <w:szCs w:val="21"/>
        </w:rPr>
        <w:t xml:space="preserve"> </w:t>
      </w:r>
    </w:p>
    <w:p w14:paraId="02A8A796" w14:textId="6F6C9CCB" w:rsidR="00EA0161" w:rsidRPr="00EA0161" w:rsidRDefault="00EA0161" w:rsidP="00875C16">
      <w:pPr>
        <w:spacing w:line="276" w:lineRule="auto"/>
        <w:jc w:val="both"/>
        <w:rPr>
          <w:rFonts w:ascii="Century Gothic" w:eastAsia="Quattrocento Sans" w:hAnsi="Century Gothic" w:cs="Segoe UI"/>
          <w:i/>
          <w:sz w:val="21"/>
          <w:szCs w:val="21"/>
        </w:rPr>
      </w:pPr>
      <w:r w:rsidRPr="00EA0161">
        <w:rPr>
          <w:rFonts w:ascii="Century Gothic" w:eastAsia="Quattrocento Sans" w:hAnsi="Century Gothic" w:cs="Segoe UI"/>
          <w:i/>
          <w:sz w:val="21"/>
          <w:szCs w:val="21"/>
        </w:rPr>
        <w:t>En las conductas punibles que tengan señalada pena no privativa de la libertad, la acción penal prescribirá en cinco (5) años.</w:t>
      </w:r>
    </w:p>
    <w:p w14:paraId="34C81507" w14:textId="77777777" w:rsidR="00EA0161" w:rsidRPr="00EA0161" w:rsidRDefault="00EA0161" w:rsidP="00875C16">
      <w:pPr>
        <w:spacing w:line="276" w:lineRule="auto"/>
        <w:rPr>
          <w:rFonts w:eastAsia="Times New Roman"/>
        </w:rPr>
      </w:pPr>
    </w:p>
    <w:p w14:paraId="47F56CBA" w14:textId="77777777" w:rsidR="000D37A0" w:rsidRPr="000D37A0" w:rsidRDefault="000D37A0" w:rsidP="00875C16">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Para este efecto se tendrán en cuenta las causales sustanciales modificadoras de la punibilidad. </w:t>
      </w:r>
    </w:p>
    <w:p w14:paraId="2D58FCE7" w14:textId="77777777" w:rsidR="000D37A0" w:rsidRPr="000D37A0" w:rsidRDefault="000D37A0" w:rsidP="00875C16">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 </w:t>
      </w:r>
    </w:p>
    <w:p w14:paraId="49EB01E2" w14:textId="77777777" w:rsidR="000D37A0" w:rsidRPr="000D37A0" w:rsidRDefault="000D37A0" w:rsidP="00875C16">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lastRenderedPageBreak/>
        <w:t xml:space="preserve">También se aumentará el término de prescripción, en la mitad, cuando la conducta punible se hubiere iniciado o consumado en el exterior. </w:t>
      </w:r>
    </w:p>
    <w:p w14:paraId="33FE62EE" w14:textId="20905EF3" w:rsidR="000D37A0" w:rsidRPr="000D37A0" w:rsidRDefault="000D37A0" w:rsidP="00875C16">
      <w:pPr>
        <w:spacing w:after="240" w:line="276" w:lineRule="auto"/>
        <w:jc w:val="both"/>
        <w:rPr>
          <w:rFonts w:ascii="Century Gothic" w:eastAsia="Quattrocento Sans" w:hAnsi="Century Gothic" w:cs="Segoe UI"/>
          <w:i/>
          <w:sz w:val="21"/>
          <w:szCs w:val="21"/>
        </w:rPr>
      </w:pPr>
      <w:r w:rsidRPr="000D37A0">
        <w:rPr>
          <w:rFonts w:ascii="Century Gothic" w:eastAsia="Quattrocento Sans" w:hAnsi="Century Gothic" w:cs="Segoe UI"/>
          <w:i/>
          <w:sz w:val="21"/>
          <w:szCs w:val="21"/>
        </w:rPr>
        <w:t xml:space="preserve">En todo caso, cuando se aumente el término de prescripción, no se excederá el límite máximo fijado. </w:t>
      </w:r>
    </w:p>
    <w:p w14:paraId="41260952" w14:textId="152B168F" w:rsidR="000D37A0" w:rsidRPr="000D37A0" w:rsidRDefault="000D37A0" w:rsidP="00875C16">
      <w:pPr>
        <w:spacing w:after="240" w:line="276" w:lineRule="auto"/>
        <w:jc w:val="both"/>
        <w:rPr>
          <w:rFonts w:ascii="Century Gothic" w:eastAsia="Quattrocento Sans" w:hAnsi="Century Gothic" w:cs="Segoe UI"/>
          <w:b/>
          <w:sz w:val="21"/>
          <w:szCs w:val="21"/>
        </w:rPr>
      </w:pPr>
      <w:r w:rsidRPr="000D37A0">
        <w:rPr>
          <w:rFonts w:ascii="Century Gothic" w:eastAsia="Quattrocento Sans" w:hAnsi="Century Gothic" w:cs="Segoe UI"/>
          <w:b/>
          <w:sz w:val="21"/>
          <w:szCs w:val="21"/>
        </w:rPr>
        <w:t xml:space="preserve">ARTÍCULO 2. </w:t>
      </w:r>
      <w:r w:rsidRPr="000D37A0">
        <w:rPr>
          <w:rFonts w:ascii="Century Gothic" w:eastAsia="Quattrocento Sans" w:hAnsi="Century Gothic" w:cs="Segoe UI"/>
          <w:sz w:val="21"/>
          <w:szCs w:val="21"/>
        </w:rPr>
        <w:t>Esta ley rige a partir de la fecha de su promulgación y deroga todas las disposiciones que le sean contrarias.</w:t>
      </w:r>
    </w:p>
    <w:p w14:paraId="6DCFC2CD" w14:textId="77777777" w:rsidR="000856E0" w:rsidRPr="00793F85" w:rsidRDefault="000856E0" w:rsidP="000856E0">
      <w:pPr>
        <w:spacing w:after="240" w:line="276" w:lineRule="auto"/>
        <w:jc w:val="both"/>
        <w:rPr>
          <w:rFonts w:ascii="Century Gothic" w:hAnsi="Century Gothic"/>
          <w:sz w:val="21"/>
          <w:szCs w:val="21"/>
        </w:rPr>
      </w:pPr>
      <w:r w:rsidRPr="00793F85">
        <w:rPr>
          <w:rFonts w:ascii="Century Gothic" w:hAnsi="Century Gothic"/>
          <w:sz w:val="21"/>
          <w:szCs w:val="21"/>
        </w:rPr>
        <w:t xml:space="preserve">Cordialmente, </w:t>
      </w:r>
    </w:p>
    <w:p w14:paraId="56713380" w14:textId="77777777" w:rsidR="000856E0" w:rsidRPr="00793F85" w:rsidRDefault="000856E0" w:rsidP="000856E0">
      <w:pPr>
        <w:jc w:val="both"/>
        <w:rPr>
          <w:rFonts w:ascii="Century Gothic" w:hAnsi="Century Gothic"/>
          <w:sz w:val="21"/>
          <w:szCs w:val="21"/>
        </w:rPr>
      </w:pPr>
    </w:p>
    <w:p w14:paraId="4FD1873F" w14:textId="77777777" w:rsidR="000856E0" w:rsidRDefault="000856E0" w:rsidP="000856E0">
      <w:pPr>
        <w:jc w:val="both"/>
        <w:rPr>
          <w:rFonts w:ascii="Century Gothic" w:hAnsi="Century Gothic"/>
          <w:sz w:val="21"/>
          <w:szCs w:val="21"/>
        </w:rPr>
      </w:pPr>
    </w:p>
    <w:p w14:paraId="343E5C3F" w14:textId="77777777" w:rsidR="000856E0" w:rsidRDefault="000856E0" w:rsidP="000856E0">
      <w:pPr>
        <w:jc w:val="both"/>
        <w:rPr>
          <w:rFonts w:ascii="Century Gothic" w:hAnsi="Century Gothic"/>
          <w:sz w:val="21"/>
          <w:szCs w:val="21"/>
        </w:rPr>
      </w:pPr>
    </w:p>
    <w:p w14:paraId="5765A6FD" w14:textId="77777777" w:rsidR="000856E0" w:rsidRPr="0070360C" w:rsidRDefault="000856E0" w:rsidP="000856E0">
      <w:pPr>
        <w:rPr>
          <w:rFonts w:ascii="Century Gothic" w:eastAsia="Quattrocento Sans" w:hAnsi="Century Gothic" w:cs="Segoe UI"/>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JULIÁN PEINADO RAMÍREZ - C</w:t>
      </w:r>
      <w:r>
        <w:rPr>
          <w:rFonts w:ascii="Century Gothic" w:eastAsia="Quattrocento Sans" w:hAnsi="Century Gothic" w:cs="Segoe UI"/>
          <w:sz w:val="21"/>
          <w:szCs w:val="21"/>
        </w:rPr>
        <w:t xml:space="preserve">                                    </w:t>
      </w:r>
      <w:r w:rsidRPr="0070360C">
        <w:rPr>
          <w:rFonts w:ascii="Century Gothic" w:eastAsia="Quattrocento Sans" w:hAnsi="Century Gothic" w:cs="Segoe UI"/>
          <w:b/>
          <w:sz w:val="21"/>
          <w:szCs w:val="21"/>
        </w:rPr>
        <w:t>ADRIANA MAGALI MATIZ VARGAS - C</w:t>
      </w:r>
    </w:p>
    <w:p w14:paraId="71C42A66" w14:textId="7B150EBD" w:rsidR="000856E0" w:rsidRDefault="000856E0" w:rsidP="000856E0">
      <w:pPr>
        <w:spacing w:line="276" w:lineRule="auto"/>
        <w:rPr>
          <w:rFonts w:ascii="Century Gothic" w:eastAsia="Quattrocento Sans" w:hAnsi="Century Gothic" w:cs="Segoe UI"/>
          <w:sz w:val="21"/>
          <w:szCs w:val="21"/>
        </w:rPr>
      </w:pPr>
      <w:r>
        <w:rPr>
          <w:rFonts w:ascii="Century Gothic" w:eastAsia="Quattrocento Sans" w:hAnsi="Century Gothic" w:cs="Segoe UI"/>
          <w:sz w:val="21"/>
          <w:szCs w:val="21"/>
        </w:rPr>
        <w:t xml:space="preserve">  Representante a la Cámara                                              Representante a la Cámara</w:t>
      </w:r>
    </w:p>
    <w:p w14:paraId="0D9B79E1" w14:textId="77777777" w:rsidR="000856E0" w:rsidRDefault="000856E0" w:rsidP="000856E0">
      <w:pPr>
        <w:spacing w:line="276" w:lineRule="auto"/>
        <w:jc w:val="center"/>
        <w:rPr>
          <w:rFonts w:ascii="Century Gothic" w:eastAsia="Quattrocento Sans" w:hAnsi="Century Gothic" w:cs="Segoe UI"/>
          <w:sz w:val="21"/>
          <w:szCs w:val="21"/>
        </w:rPr>
      </w:pPr>
    </w:p>
    <w:p w14:paraId="209F52BB" w14:textId="77777777" w:rsidR="000856E0" w:rsidRPr="00196F70" w:rsidRDefault="000856E0" w:rsidP="000856E0">
      <w:pPr>
        <w:spacing w:line="276" w:lineRule="auto"/>
        <w:jc w:val="center"/>
        <w:rPr>
          <w:rFonts w:ascii="Century Gothic" w:eastAsia="Quattrocento Sans" w:hAnsi="Century Gothic" w:cs="Segoe UI"/>
          <w:sz w:val="21"/>
          <w:szCs w:val="21"/>
        </w:rPr>
      </w:pPr>
    </w:p>
    <w:p w14:paraId="1B3586EF" w14:textId="77777777" w:rsidR="000856E0" w:rsidRDefault="000856E0" w:rsidP="000856E0">
      <w:pPr>
        <w:spacing w:line="276" w:lineRule="auto"/>
        <w:jc w:val="center"/>
        <w:rPr>
          <w:rFonts w:ascii="Century Gothic" w:eastAsia="Quattrocento Sans" w:hAnsi="Century Gothic" w:cs="Segoe UI"/>
          <w:sz w:val="21"/>
          <w:szCs w:val="21"/>
        </w:rPr>
      </w:pPr>
    </w:p>
    <w:p w14:paraId="6F863EBC" w14:textId="77777777" w:rsidR="000856E0" w:rsidRPr="00672A4B" w:rsidRDefault="000856E0" w:rsidP="000856E0">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ELBERT DÍAZ LOZANO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MARGARITA MARÍA RESTREPO</w:t>
      </w:r>
      <w:r>
        <w:rPr>
          <w:rFonts w:ascii="Century Gothic" w:eastAsia="Quattrocento Sans" w:hAnsi="Century Gothic" w:cs="Segoe UI"/>
          <w:b/>
          <w:sz w:val="21"/>
          <w:szCs w:val="21"/>
        </w:rPr>
        <w:t xml:space="preserve">                 </w:t>
      </w:r>
      <w:r>
        <w:rPr>
          <w:rFonts w:ascii="Century Gothic" w:eastAsia="Quattrocento Sans" w:hAnsi="Century Gothic" w:cs="Segoe UI"/>
          <w:sz w:val="21"/>
          <w:szCs w:val="21"/>
        </w:rPr>
        <w:t>Representante a la Cámara                                                 Representante a la Cámara</w:t>
      </w:r>
    </w:p>
    <w:p w14:paraId="0C21B02E" w14:textId="77777777" w:rsidR="000856E0" w:rsidRDefault="000856E0" w:rsidP="000856E0">
      <w:pPr>
        <w:spacing w:line="276" w:lineRule="auto"/>
        <w:jc w:val="center"/>
        <w:rPr>
          <w:rFonts w:ascii="Century Gothic" w:eastAsia="Quattrocento Sans" w:hAnsi="Century Gothic" w:cs="Segoe UI"/>
          <w:sz w:val="21"/>
          <w:szCs w:val="21"/>
        </w:rPr>
      </w:pPr>
    </w:p>
    <w:p w14:paraId="03708E2F" w14:textId="77777777" w:rsidR="000856E0" w:rsidRDefault="000856E0" w:rsidP="000856E0">
      <w:pPr>
        <w:spacing w:line="276" w:lineRule="auto"/>
        <w:jc w:val="center"/>
        <w:rPr>
          <w:rFonts w:ascii="Century Gothic" w:eastAsia="Quattrocento Sans" w:hAnsi="Century Gothic" w:cs="Segoe UI"/>
          <w:sz w:val="21"/>
          <w:szCs w:val="21"/>
        </w:rPr>
      </w:pPr>
    </w:p>
    <w:p w14:paraId="100B60C4" w14:textId="77777777" w:rsidR="000856E0" w:rsidRDefault="000856E0" w:rsidP="000856E0">
      <w:pPr>
        <w:spacing w:line="276" w:lineRule="auto"/>
        <w:jc w:val="center"/>
        <w:rPr>
          <w:rFonts w:ascii="Century Gothic" w:eastAsia="Quattrocento Sans" w:hAnsi="Century Gothic" w:cs="Segoe UI"/>
          <w:sz w:val="21"/>
          <w:szCs w:val="21"/>
        </w:rPr>
      </w:pPr>
    </w:p>
    <w:p w14:paraId="1F8C01D1" w14:textId="3EC117F9" w:rsidR="000856E0" w:rsidRPr="0070360C" w:rsidRDefault="000856E0" w:rsidP="000856E0">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00D666B6">
        <w:rPr>
          <w:rFonts w:ascii="Century Gothic" w:eastAsia="Quattrocento Sans" w:hAnsi="Century Gothic" w:cs="Segoe UI"/>
          <w:b/>
          <w:sz w:val="21"/>
          <w:szCs w:val="21"/>
        </w:rPr>
        <w:t>JULIO</w:t>
      </w:r>
      <w:r w:rsidRPr="0070360C">
        <w:rPr>
          <w:rFonts w:ascii="Century Gothic" w:eastAsia="Quattrocento Sans" w:hAnsi="Century Gothic" w:cs="Segoe UI"/>
          <w:b/>
          <w:sz w:val="21"/>
          <w:szCs w:val="21"/>
        </w:rPr>
        <w:t xml:space="preserve"> CÉSAR TRIANA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         </w:t>
      </w:r>
      <w:r>
        <w:rPr>
          <w:rFonts w:ascii="Century Gothic" w:eastAsia="Quattrocento Sans" w:hAnsi="Century Gothic" w:cs="Segoe UI"/>
          <w:b/>
          <w:sz w:val="21"/>
          <w:szCs w:val="21"/>
        </w:rPr>
        <w:t xml:space="preserve">      </w:t>
      </w:r>
      <w:r w:rsidRPr="0070360C">
        <w:rPr>
          <w:rFonts w:ascii="Century Gothic" w:eastAsia="Quattrocento Sans" w:hAnsi="Century Gothic" w:cs="Segoe UI"/>
          <w:b/>
          <w:sz w:val="21"/>
          <w:szCs w:val="21"/>
        </w:rPr>
        <w:t xml:space="preserve">  INTI RAÚL ASPRILLA REYES</w:t>
      </w:r>
    </w:p>
    <w:p w14:paraId="592E74C2" w14:textId="77777777" w:rsidR="000856E0" w:rsidRPr="00196F70" w:rsidRDefault="000856E0" w:rsidP="000856E0">
      <w:pPr>
        <w:spacing w:line="276" w:lineRule="auto"/>
        <w:rPr>
          <w:rFonts w:ascii="Century Gothic" w:eastAsia="Quattrocento Sans" w:hAnsi="Century Gothic" w:cs="Segoe UI"/>
          <w:sz w:val="21"/>
          <w:szCs w:val="21"/>
        </w:rPr>
      </w:pPr>
      <w:r>
        <w:rPr>
          <w:rFonts w:ascii="Century Gothic" w:eastAsia="Quattrocento Sans" w:hAnsi="Century Gothic" w:cs="Segoe UI"/>
          <w:sz w:val="21"/>
          <w:szCs w:val="21"/>
        </w:rPr>
        <w:t xml:space="preserve">  Representante a la Cámara                                               Representante a la Cámara</w:t>
      </w:r>
    </w:p>
    <w:p w14:paraId="66421B67" w14:textId="77777777" w:rsidR="000856E0" w:rsidRDefault="000856E0" w:rsidP="000856E0">
      <w:pPr>
        <w:spacing w:line="276" w:lineRule="auto"/>
        <w:jc w:val="center"/>
        <w:rPr>
          <w:rFonts w:ascii="Century Gothic" w:eastAsia="Quattrocento Sans" w:hAnsi="Century Gothic" w:cs="Segoe UI"/>
          <w:sz w:val="21"/>
          <w:szCs w:val="21"/>
        </w:rPr>
      </w:pPr>
    </w:p>
    <w:p w14:paraId="112231F6" w14:textId="77777777" w:rsidR="000856E0" w:rsidRPr="00196F70" w:rsidRDefault="000856E0" w:rsidP="000856E0">
      <w:pPr>
        <w:spacing w:line="276" w:lineRule="auto"/>
        <w:jc w:val="center"/>
        <w:rPr>
          <w:rFonts w:ascii="Century Gothic" w:eastAsia="Quattrocento Sans" w:hAnsi="Century Gothic" w:cs="Segoe UI"/>
          <w:sz w:val="21"/>
          <w:szCs w:val="21"/>
        </w:rPr>
      </w:pPr>
    </w:p>
    <w:p w14:paraId="67E3614A" w14:textId="77777777" w:rsidR="000856E0" w:rsidRDefault="000856E0" w:rsidP="000856E0">
      <w:pPr>
        <w:spacing w:line="276" w:lineRule="auto"/>
        <w:jc w:val="center"/>
        <w:rPr>
          <w:rFonts w:ascii="Century Gothic" w:eastAsia="Quattrocento Sans" w:hAnsi="Century Gothic" w:cs="Segoe UI"/>
          <w:sz w:val="21"/>
          <w:szCs w:val="21"/>
        </w:rPr>
      </w:pPr>
    </w:p>
    <w:p w14:paraId="19183332" w14:textId="60798C5C" w:rsidR="000856E0" w:rsidRPr="0070360C" w:rsidRDefault="00822B88"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b/>
          <w:sz w:val="21"/>
          <w:szCs w:val="21"/>
        </w:rPr>
        <w:t xml:space="preserve">        </w:t>
      </w:r>
      <w:r w:rsidR="000856E0" w:rsidRPr="0070360C">
        <w:rPr>
          <w:rFonts w:ascii="Century Gothic" w:eastAsia="Quattrocento Sans" w:hAnsi="Century Gothic" w:cs="Segoe UI"/>
          <w:b/>
          <w:sz w:val="21"/>
          <w:szCs w:val="21"/>
        </w:rPr>
        <w:t>LUIS ALBERTO ALBÁN</w:t>
      </w:r>
      <w:r>
        <w:rPr>
          <w:rFonts w:ascii="Century Gothic" w:eastAsia="Quattrocento Sans" w:hAnsi="Century Gothic" w:cs="Segoe UI"/>
          <w:b/>
          <w:sz w:val="21"/>
          <w:szCs w:val="21"/>
        </w:rPr>
        <w:t xml:space="preserve">                                            HARRY GIOVANNY GONZÁLEZ GARCÍA                               </w:t>
      </w:r>
    </w:p>
    <w:p w14:paraId="5070BA70" w14:textId="462E31EE" w:rsidR="000856E0" w:rsidRDefault="000856E0" w:rsidP="00822B88">
      <w:pPr>
        <w:spacing w:line="276" w:lineRule="auto"/>
        <w:rPr>
          <w:rFonts w:ascii="Century Gothic" w:eastAsia="Quattrocento Sans" w:hAnsi="Century Gothic" w:cs="Segoe UI"/>
          <w:b/>
          <w:sz w:val="21"/>
          <w:szCs w:val="21"/>
        </w:rPr>
      </w:pPr>
      <w:r>
        <w:rPr>
          <w:rFonts w:ascii="Century Gothic" w:eastAsia="Quattrocento Sans" w:hAnsi="Century Gothic" w:cs="Segoe UI"/>
          <w:sz w:val="21"/>
          <w:szCs w:val="21"/>
        </w:rPr>
        <w:t>Representante a la Cámara</w:t>
      </w:r>
      <w:r w:rsidR="00822B88">
        <w:rPr>
          <w:rFonts w:ascii="Century Gothic" w:eastAsia="Quattrocento Sans" w:hAnsi="Century Gothic" w:cs="Segoe UI"/>
          <w:sz w:val="21"/>
          <w:szCs w:val="21"/>
        </w:rPr>
        <w:t xml:space="preserve">                                                  Representante a la Cámara</w:t>
      </w:r>
    </w:p>
    <w:p w14:paraId="164719A1" w14:textId="77777777" w:rsidR="00892DE3" w:rsidRPr="000856E0" w:rsidRDefault="00892DE3" w:rsidP="000856E0">
      <w:pPr>
        <w:spacing w:after="240"/>
        <w:jc w:val="both"/>
        <w:rPr>
          <w:rFonts w:ascii="Century Gothic" w:hAnsi="Century Gothic"/>
          <w:b/>
          <w:color w:val="FF0000"/>
          <w:sz w:val="21"/>
          <w:szCs w:val="21"/>
        </w:rPr>
      </w:pPr>
    </w:p>
    <w:sectPr w:rsidR="00892DE3" w:rsidRPr="000856E0" w:rsidSect="00793F85">
      <w:headerReference w:type="default" r:id="rId9"/>
      <w:footerReference w:type="default" r:id="rId10"/>
      <w:pgSz w:w="12240" w:h="15840" w:code="1"/>
      <w:pgMar w:top="1418" w:right="1701" w:bottom="1418" w:left="1418"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DBEB2" w14:textId="77777777" w:rsidR="00043CBF" w:rsidRDefault="00043CBF" w:rsidP="00325533">
      <w:r>
        <w:separator/>
      </w:r>
    </w:p>
  </w:endnote>
  <w:endnote w:type="continuationSeparator" w:id="0">
    <w:p w14:paraId="16E35A89" w14:textId="77777777" w:rsidR="00043CBF" w:rsidRDefault="00043CBF" w:rsidP="0032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BD32" w14:textId="77777777" w:rsidR="00714830" w:rsidRDefault="00714830" w:rsidP="00793F85">
    <w:pPr>
      <w:pStyle w:val="Piedepgina"/>
      <w:jc w:val="center"/>
    </w:pPr>
    <w:r w:rsidRPr="00CC3C2A">
      <w:rPr>
        <w:noProof/>
        <w:sz w:val="16"/>
        <w:szCs w:val="16"/>
        <w:lang w:eastAsia="es-CO"/>
      </w:rPr>
      <w:drawing>
        <wp:inline distT="0" distB="0" distL="0" distR="0" wp14:anchorId="3940EA2A" wp14:editId="0A64218E">
          <wp:extent cx="3114155" cy="28441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967" cy="290058"/>
                  </a:xfrm>
                  <a:prstGeom prst="rect">
                    <a:avLst/>
                  </a:prstGeom>
                  <a:noFill/>
                  <a:ln>
                    <a:noFill/>
                  </a:ln>
                </pic:spPr>
              </pic:pic>
            </a:graphicData>
          </a:graphic>
        </wp:inline>
      </w:drawing>
    </w:r>
  </w:p>
  <w:p w14:paraId="1B3C1264" w14:textId="5007A719" w:rsidR="00714830" w:rsidRPr="00793F85" w:rsidRDefault="00714830" w:rsidP="00793F85">
    <w:pPr>
      <w:pStyle w:val="Piedepgina"/>
      <w:jc w:val="center"/>
      <w:rPr>
        <w:rFonts w:ascii="Century Gothic" w:hAnsi="Century Gothic"/>
      </w:rPr>
    </w:pPr>
    <w:r w:rsidRPr="00793F85">
      <w:rPr>
        <w:rFonts w:ascii="Century Gothic" w:hAnsi="Century Gothic"/>
        <w:spacing w:val="60"/>
        <w:sz w:val="16"/>
        <w:szCs w:val="16"/>
      </w:rPr>
      <w:t xml:space="preserve">Cra. 7ª No. 8-68 </w:t>
    </w:r>
  </w:p>
  <w:p w14:paraId="69151ED2" w14:textId="77301D25" w:rsidR="00714830" w:rsidRPr="00793F85" w:rsidRDefault="00714830" w:rsidP="00793F85">
    <w:pPr>
      <w:pStyle w:val="Piedepgina"/>
      <w:jc w:val="center"/>
      <w:rPr>
        <w:rFonts w:ascii="Century Gothic" w:hAnsi="Century Gothic"/>
        <w:sz w:val="16"/>
        <w:szCs w:val="16"/>
      </w:rPr>
    </w:pPr>
    <w:r w:rsidRPr="00793F85">
      <w:rPr>
        <w:rFonts w:ascii="Century Gothic" w:hAnsi="Century Gothic"/>
        <w:spacing w:val="60"/>
        <w:sz w:val="16"/>
        <w:szCs w:val="16"/>
      </w:rPr>
      <w:t>Bogotá, D.C.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2064D" w14:textId="77777777" w:rsidR="00043CBF" w:rsidRDefault="00043CBF" w:rsidP="00325533">
      <w:r>
        <w:separator/>
      </w:r>
    </w:p>
  </w:footnote>
  <w:footnote w:type="continuationSeparator" w:id="0">
    <w:p w14:paraId="031BE113" w14:textId="77777777" w:rsidR="00043CBF" w:rsidRDefault="00043CBF" w:rsidP="00325533">
      <w:r>
        <w:continuationSeparator/>
      </w:r>
    </w:p>
  </w:footnote>
  <w:footnote w:id="1">
    <w:p w14:paraId="1228B8C8" w14:textId="77777777" w:rsidR="00714830" w:rsidRPr="00D714BE" w:rsidRDefault="00714830" w:rsidP="00C31434">
      <w:pPr>
        <w:pStyle w:val="Textonotapie"/>
        <w:rPr>
          <w:rFonts w:ascii="Century Gothic" w:hAnsi="Century Gothic" w:cs="Segoe UI"/>
          <w:sz w:val="15"/>
          <w:szCs w:val="15"/>
        </w:rPr>
      </w:pPr>
      <w:r w:rsidRPr="00D714BE">
        <w:rPr>
          <w:rStyle w:val="Refdenotaalpie"/>
          <w:rFonts w:ascii="Century Gothic" w:hAnsi="Century Gothic" w:cs="Segoe UI"/>
          <w:sz w:val="15"/>
          <w:szCs w:val="15"/>
        </w:rPr>
        <w:footnoteRef/>
      </w:r>
      <w:r w:rsidRPr="00D714BE">
        <w:rPr>
          <w:rFonts w:ascii="Century Gothic" w:hAnsi="Century Gothic" w:cs="Segoe UI"/>
          <w:sz w:val="15"/>
          <w:szCs w:val="15"/>
        </w:rPr>
        <w:t xml:space="preserve"> Corte Constitucional. Sentencia 027 del 23 de febrero de 1994. Magistrado Ponente: Vladimiro Naranjo Mesa.</w:t>
      </w:r>
    </w:p>
  </w:footnote>
  <w:footnote w:id="2">
    <w:p w14:paraId="69D4AEDE" w14:textId="794C0996" w:rsidR="00A11849" w:rsidRDefault="00A11849">
      <w:pPr>
        <w:pStyle w:val="Textonotapie"/>
      </w:pPr>
      <w:r>
        <w:rPr>
          <w:rStyle w:val="Refdenotaalpie"/>
        </w:rPr>
        <w:footnoteRef/>
      </w:r>
      <w:r>
        <w:t xml:space="preserve"> </w:t>
      </w:r>
      <w:r w:rsidRPr="00A11849">
        <w:rPr>
          <w:rFonts w:ascii="Century Gothic" w:eastAsia="Quattrocento Sans" w:hAnsi="Century Gothic" w:cs="Segoe UI"/>
          <w:sz w:val="15"/>
          <w:szCs w:val="15"/>
        </w:rPr>
        <w:t>Consejo Superior de Política Criminal</w:t>
      </w:r>
      <w:r w:rsidRPr="00A11849">
        <w:rPr>
          <w:rFonts w:ascii="Century Gothic" w:eastAsia="Quattrocento Sans" w:hAnsi="Century Gothic" w:cs="Segoe UI"/>
          <w:b/>
          <w:sz w:val="15"/>
          <w:szCs w:val="15"/>
        </w:rPr>
        <w:t xml:space="preserve">. </w:t>
      </w:r>
      <w:r w:rsidRPr="00A11849">
        <w:rPr>
          <w:rFonts w:ascii="Century Gothic" w:hAnsi="Century Gothic" w:cs="Segoe UI"/>
          <w:b/>
          <w:sz w:val="15"/>
          <w:szCs w:val="15"/>
        </w:rPr>
        <w:t>Concepto 13.2019</w:t>
      </w:r>
      <w:r>
        <w:rPr>
          <w:rFonts w:ascii="Century Gothic" w:hAnsi="Century Gothic" w:cs="Segoe UI"/>
          <w:b/>
          <w:sz w:val="15"/>
          <w:szCs w:val="15"/>
        </w:rPr>
        <w:t>.</w:t>
      </w:r>
    </w:p>
  </w:footnote>
  <w:footnote w:id="3">
    <w:p w14:paraId="7A50D7DE" w14:textId="77777777" w:rsidR="00A11849" w:rsidRDefault="00A11849" w:rsidP="00A11849">
      <w:pPr>
        <w:pStyle w:val="Textonotapie"/>
      </w:pPr>
      <w:r>
        <w:rPr>
          <w:rStyle w:val="Refdenotaalpie"/>
        </w:rPr>
        <w:footnoteRef/>
      </w:r>
      <w:r>
        <w:t xml:space="preserve"> </w:t>
      </w:r>
      <w:hyperlink r:id="rId1" w:history="1">
        <w:r w:rsidRPr="00446673">
          <w:rPr>
            <w:rStyle w:val="Hipervnculo"/>
          </w:rPr>
          <w:t>https://busquedas.elperuano.pe/normaslegales/ley-que-modifica-el-codigo-penal-y-el-codigo-de-ejecucion-pe-ley-n-30838-1677448-1/</w:t>
        </w:r>
      </w:hyperlink>
      <w:r>
        <w:t xml:space="preserve"> </w:t>
      </w:r>
    </w:p>
  </w:footnote>
  <w:footnote w:id="4">
    <w:p w14:paraId="0355088D" w14:textId="77777777" w:rsidR="00714830" w:rsidRPr="00164ED9" w:rsidRDefault="00714830" w:rsidP="00164ED9">
      <w:pPr>
        <w:pStyle w:val="Textonotapie"/>
        <w:jc w:val="both"/>
        <w:rPr>
          <w:rFonts w:ascii="Century Gothic" w:hAnsi="Century Gothic" w:cs="Segoe UI"/>
          <w:sz w:val="15"/>
          <w:szCs w:val="15"/>
        </w:rPr>
      </w:pPr>
      <w:r w:rsidRPr="00164ED9">
        <w:rPr>
          <w:rStyle w:val="Refdenotaalpie"/>
          <w:rFonts w:ascii="Century Gothic" w:hAnsi="Century Gothic" w:cs="Segoe UI"/>
          <w:sz w:val="15"/>
          <w:szCs w:val="15"/>
        </w:rPr>
        <w:footnoteRef/>
      </w:r>
      <w:r w:rsidRPr="00164ED9">
        <w:rPr>
          <w:rFonts w:ascii="Century Gothic" w:hAnsi="Century Gothic" w:cs="Segoe UI"/>
          <w:sz w:val="15"/>
          <w:szCs w:val="15"/>
        </w:rPr>
        <w:t xml:space="preserve"> Disponible en:</w:t>
      </w:r>
      <w:hyperlink r:id="rId2">
        <w:r w:rsidRPr="00164ED9">
          <w:rPr>
            <w:rStyle w:val="Hipervnculo"/>
            <w:rFonts w:ascii="Century Gothic" w:hAnsi="Century Gothic" w:cs="Segoe UI"/>
            <w:sz w:val="15"/>
            <w:szCs w:val="15"/>
          </w:rPr>
          <w:t xml:space="preserve"> https://www.who.int/violence_injury_prevention/violence/global_campaign/en/chap6.pdf</w:t>
        </w:r>
      </w:hyperlink>
    </w:p>
  </w:footnote>
  <w:footnote w:id="5">
    <w:p w14:paraId="7035AD43" w14:textId="77777777" w:rsidR="00714830" w:rsidRPr="00164ED9" w:rsidRDefault="00714830" w:rsidP="00164ED9">
      <w:pPr>
        <w:pStyle w:val="Textonotapie"/>
        <w:jc w:val="both"/>
        <w:rPr>
          <w:rFonts w:ascii="Century Gothic" w:hAnsi="Century Gothic" w:cs="Segoe UI"/>
          <w:sz w:val="15"/>
          <w:szCs w:val="15"/>
        </w:rPr>
      </w:pPr>
      <w:r w:rsidRPr="00164ED9">
        <w:rPr>
          <w:rStyle w:val="Refdenotaalpie"/>
          <w:rFonts w:ascii="Century Gothic" w:hAnsi="Century Gothic" w:cs="Segoe UI"/>
          <w:sz w:val="15"/>
          <w:szCs w:val="15"/>
        </w:rPr>
        <w:footnoteRef/>
      </w:r>
      <w:r w:rsidRPr="00164ED9">
        <w:rPr>
          <w:rFonts w:ascii="Century Gothic" w:hAnsi="Century Gothic" w:cs="Segoe UI"/>
          <w:sz w:val="15"/>
          <w:szCs w:val="15"/>
        </w:rPr>
        <w:t xml:space="preserve"> Disponible en:</w:t>
      </w:r>
      <w:hyperlink r:id="rId3">
        <w:r w:rsidRPr="00164ED9">
          <w:rPr>
            <w:rStyle w:val="Hipervnculo"/>
            <w:rFonts w:ascii="Century Gothic" w:hAnsi="Century Gothic" w:cs="Segoe UI"/>
            <w:sz w:val="15"/>
            <w:szCs w:val="15"/>
          </w:rPr>
          <w:t xml:space="preserve"> https://arrow.dit.ie/aaschsslcon/2/</w:t>
        </w:r>
      </w:hyperlink>
    </w:p>
  </w:footnote>
  <w:footnote w:id="6">
    <w:p w14:paraId="2839BE05" w14:textId="44E676A9" w:rsidR="00714830" w:rsidRPr="00164ED9" w:rsidRDefault="00714830" w:rsidP="00164ED9">
      <w:pPr>
        <w:pStyle w:val="Textonotapie"/>
        <w:jc w:val="both"/>
        <w:rPr>
          <w:rFonts w:ascii="Century Gothic" w:hAnsi="Century Gothic" w:cs="Segoe UI"/>
          <w:sz w:val="15"/>
          <w:szCs w:val="15"/>
        </w:rPr>
      </w:pPr>
      <w:r w:rsidRPr="00164ED9">
        <w:rPr>
          <w:rStyle w:val="Refdenotaalpie"/>
          <w:rFonts w:ascii="Century Gothic" w:hAnsi="Century Gothic" w:cs="Segoe UI"/>
          <w:sz w:val="15"/>
          <w:szCs w:val="15"/>
        </w:rPr>
        <w:footnoteRef/>
      </w:r>
      <w:r w:rsidRPr="00164ED9">
        <w:rPr>
          <w:rFonts w:ascii="Century Gothic" w:hAnsi="Century Gothic" w:cs="Segoe UI"/>
          <w:sz w:val="15"/>
          <w:szCs w:val="15"/>
        </w:rPr>
        <w:t xml:space="preserve"> Kogan SM. 2004. Disclosing unwanted sexual experiences: Results from a national sample of adolescent women. Child Abuse &amp; Neglect 28: 147–165.</w:t>
      </w:r>
    </w:p>
  </w:footnote>
  <w:footnote w:id="7">
    <w:p w14:paraId="5B1675DE" w14:textId="7840EC83" w:rsidR="00164ED9" w:rsidRPr="00164ED9" w:rsidRDefault="008A5F88" w:rsidP="00164ED9">
      <w:pPr>
        <w:shd w:val="clear" w:color="auto" w:fill="FFFFFF"/>
        <w:jc w:val="both"/>
        <w:rPr>
          <w:rFonts w:ascii="Century Gothic" w:hAnsi="Century Gothic" w:cs="Arial"/>
          <w:color w:val="1C1D1E"/>
          <w:sz w:val="15"/>
          <w:szCs w:val="15"/>
          <w:lang w:val="es-CO" w:eastAsia="es-CO"/>
        </w:rPr>
      </w:pPr>
      <w:r w:rsidRPr="00164ED9">
        <w:rPr>
          <w:rStyle w:val="Refdenotaalpie"/>
          <w:rFonts w:ascii="Century Gothic" w:hAnsi="Century Gothic"/>
          <w:sz w:val="15"/>
          <w:szCs w:val="15"/>
        </w:rPr>
        <w:footnoteRef/>
      </w:r>
      <w:r w:rsidRPr="00164ED9">
        <w:rPr>
          <w:rFonts w:ascii="Century Gothic" w:hAnsi="Century Gothic"/>
          <w:sz w:val="15"/>
          <w:szCs w:val="15"/>
        </w:rPr>
        <w:t xml:space="preserve"> </w:t>
      </w:r>
      <w:r w:rsidR="00164ED9" w:rsidRPr="00164ED9">
        <w:rPr>
          <w:rFonts w:ascii="Century Gothic" w:eastAsia="Calibri" w:hAnsi="Century Gothic" w:cs="Segoe UI"/>
          <w:sz w:val="15"/>
          <w:szCs w:val="15"/>
          <w:lang w:val="es-ES" w:eastAsia="en-US"/>
        </w:rPr>
        <w:t>Rosaleen McElvaney</w:t>
      </w:r>
      <w:r w:rsidR="00164ED9">
        <w:rPr>
          <w:rFonts w:ascii="Century Gothic" w:eastAsia="Calibri" w:hAnsi="Century Gothic" w:cs="Segoe UI"/>
          <w:sz w:val="15"/>
          <w:szCs w:val="15"/>
          <w:lang w:val="es-ES" w:eastAsia="en-US"/>
        </w:rPr>
        <w:t xml:space="preserve">, </w:t>
      </w:r>
      <w:r w:rsidR="00164ED9" w:rsidRPr="00164ED9">
        <w:rPr>
          <w:rFonts w:ascii="Century Gothic" w:hAnsi="Century Gothic" w:cs="Arial"/>
          <w:color w:val="1C1D1E"/>
          <w:sz w:val="15"/>
          <w:szCs w:val="15"/>
        </w:rPr>
        <w:t>Disclosure of Child Sexual Abuse: Delays, Non</w:t>
      </w:r>
      <w:r w:rsidR="00164ED9" w:rsidRPr="00164ED9">
        <w:rPr>
          <w:rFonts w:ascii="Cambria Math" w:hAnsi="Cambria Math" w:cs="Cambria Math"/>
          <w:color w:val="1C1D1E"/>
          <w:sz w:val="15"/>
          <w:szCs w:val="15"/>
        </w:rPr>
        <w:t>‐</w:t>
      </w:r>
      <w:r w:rsidR="00164ED9" w:rsidRPr="00164ED9">
        <w:rPr>
          <w:rFonts w:ascii="Century Gothic" w:hAnsi="Century Gothic" w:cs="Arial"/>
          <w:color w:val="1C1D1E"/>
          <w:sz w:val="15"/>
          <w:szCs w:val="15"/>
        </w:rPr>
        <w:t>disclosure and Partia</w:t>
      </w:r>
      <w:r w:rsidR="00164ED9">
        <w:rPr>
          <w:rFonts w:ascii="Century Gothic" w:hAnsi="Century Gothic" w:cs="Arial"/>
          <w:color w:val="1C1D1E"/>
          <w:sz w:val="15"/>
          <w:szCs w:val="15"/>
        </w:rPr>
        <w:t xml:space="preserve">l Disclosure. What the Research </w:t>
      </w:r>
      <w:r w:rsidR="00164ED9" w:rsidRPr="00164ED9">
        <w:rPr>
          <w:rFonts w:ascii="Century Gothic" w:hAnsi="Century Gothic" w:cs="Arial"/>
          <w:color w:val="1C1D1E"/>
          <w:sz w:val="15"/>
          <w:szCs w:val="15"/>
        </w:rPr>
        <w:t>Tells Us and Implications for Practice</w:t>
      </w:r>
      <w:r w:rsidR="00873A43">
        <w:rPr>
          <w:rFonts w:ascii="Century Gothic" w:hAnsi="Century Gothic" w:cs="Arial"/>
          <w:color w:val="1C1D1E"/>
          <w:sz w:val="15"/>
          <w:szCs w:val="15"/>
        </w:rPr>
        <w:t>, May 2015</w:t>
      </w:r>
      <w:r w:rsidR="00164ED9">
        <w:rPr>
          <w:rFonts w:ascii="Century Gothic" w:hAnsi="Century Gothic" w:cs="Arial"/>
          <w:color w:val="1C1D1E"/>
          <w:sz w:val="15"/>
          <w:szCs w:val="15"/>
        </w:rPr>
        <w:t xml:space="preserve">. </w:t>
      </w:r>
    </w:p>
    <w:p w14:paraId="611C90DF" w14:textId="1F586641" w:rsidR="008A5F88" w:rsidRPr="008A5F88" w:rsidRDefault="008A5F88">
      <w:pPr>
        <w:pStyle w:val="Textonotapie"/>
        <w:rPr>
          <w:lang w:val="es-CO"/>
        </w:rPr>
      </w:pPr>
    </w:p>
  </w:footnote>
  <w:footnote w:id="8">
    <w:p w14:paraId="4A3B917E" w14:textId="77777777" w:rsidR="00714830" w:rsidRPr="00D7574E" w:rsidRDefault="00714830" w:rsidP="00C31434">
      <w:pPr>
        <w:pStyle w:val="Textonotapie"/>
        <w:jc w:val="both"/>
        <w:rPr>
          <w:rFonts w:ascii="Century Gothic" w:hAnsi="Century Gothic" w:cs="Segoe UI"/>
          <w:sz w:val="15"/>
          <w:szCs w:val="15"/>
        </w:rPr>
      </w:pPr>
      <w:r w:rsidRPr="00D7574E">
        <w:rPr>
          <w:rStyle w:val="Refdenotaalpie"/>
          <w:rFonts w:ascii="Century Gothic" w:hAnsi="Century Gothic" w:cs="Segoe UI"/>
          <w:sz w:val="15"/>
          <w:szCs w:val="15"/>
        </w:rPr>
        <w:footnoteRef/>
      </w:r>
      <w:r w:rsidRPr="00D7574E">
        <w:rPr>
          <w:rFonts w:ascii="Century Gothic" w:hAnsi="Century Gothic" w:cs="Segoe UI"/>
          <w:sz w:val="15"/>
          <w:szCs w:val="15"/>
        </w:rPr>
        <w:t xml:space="preserve"> Disponible en:</w:t>
      </w:r>
      <w:hyperlink r:id="rId4">
        <w:r w:rsidRPr="00D7574E">
          <w:rPr>
            <w:rStyle w:val="Hipervnculo"/>
            <w:rFonts w:ascii="Century Gothic" w:hAnsi="Century Gothic" w:cs="Segoe UI"/>
            <w:sz w:val="15"/>
            <w:szCs w:val="15"/>
          </w:rPr>
          <w:t xml:space="preserve"> https://www.unicef.es/noticia/violencia-contra-los-ninos-nuevo-informe-ocultos-plena-luz</w:t>
        </w:r>
      </w:hyperlink>
    </w:p>
  </w:footnote>
  <w:footnote w:id="9">
    <w:p w14:paraId="6A497A25" w14:textId="77777777" w:rsidR="00714830" w:rsidRPr="00D7574E" w:rsidRDefault="00714830" w:rsidP="00C31434">
      <w:pPr>
        <w:pStyle w:val="Textonotapie"/>
        <w:jc w:val="both"/>
        <w:rPr>
          <w:rFonts w:ascii="Century Gothic" w:hAnsi="Century Gothic" w:cs="Segoe UI"/>
          <w:sz w:val="15"/>
          <w:szCs w:val="15"/>
        </w:rPr>
      </w:pPr>
      <w:r w:rsidRPr="00D7574E">
        <w:rPr>
          <w:rStyle w:val="Refdenotaalpie"/>
          <w:rFonts w:ascii="Century Gothic" w:hAnsi="Century Gothic" w:cs="Segoe UI"/>
          <w:sz w:val="15"/>
          <w:szCs w:val="15"/>
        </w:rPr>
        <w:footnoteRef/>
      </w:r>
      <w:r w:rsidRPr="00D7574E">
        <w:rPr>
          <w:rFonts w:ascii="Century Gothic" w:hAnsi="Century Gothic" w:cs="Segoe UI"/>
          <w:sz w:val="15"/>
          <w:szCs w:val="15"/>
        </w:rPr>
        <w:t xml:space="preserve">Disponible en: </w:t>
      </w:r>
      <w:hyperlink r:id="rId5">
        <w:r w:rsidRPr="00D7574E">
          <w:rPr>
            <w:rStyle w:val="Hipervnculo"/>
            <w:rFonts w:ascii="Century Gothic" w:hAnsi="Century Gothic" w:cs="Segoe UI"/>
            <w:sz w:val="15"/>
            <w:szCs w:val="15"/>
          </w:rPr>
          <w:t xml:space="preserve"> http://www.rtve.es/noticias/20181004/rompo-silencio-grito-victimas-abuso-sexual-infancia/1812245.shtml</w:t>
        </w:r>
      </w:hyperlink>
    </w:p>
    <w:p w14:paraId="1FDFC272" w14:textId="77777777" w:rsidR="00714830" w:rsidRPr="00C11F77" w:rsidRDefault="00714830" w:rsidP="00C31434">
      <w:pPr>
        <w:pStyle w:val="Textonotapie"/>
        <w:jc w:val="both"/>
        <w:rPr>
          <w:rFonts w:ascii="Segoe UI" w:hAnsi="Segoe UI" w:cs="Segoe UI"/>
          <w:sz w:val="18"/>
          <w:szCs w:val="18"/>
        </w:rPr>
      </w:pPr>
    </w:p>
  </w:footnote>
  <w:footnote w:id="10">
    <w:p w14:paraId="2020A5C0" w14:textId="3867B69B" w:rsidR="00D7353E" w:rsidRDefault="00D7353E" w:rsidP="00D7353E">
      <w:pPr>
        <w:pStyle w:val="Textonotapie"/>
      </w:pPr>
      <w:r>
        <w:rPr>
          <w:rStyle w:val="Refdenotaalpie"/>
        </w:rPr>
        <w:footnoteRef/>
      </w:r>
      <w:r>
        <w:t xml:space="preserve"> </w:t>
      </w:r>
      <w:r w:rsidRPr="003F4537">
        <w:rPr>
          <w:rFonts w:ascii="Century Gothic" w:hAnsi="Century Gothic"/>
          <w:sz w:val="15"/>
          <w:szCs w:val="15"/>
        </w:rPr>
        <w:t>C – 042 de 2018</w:t>
      </w:r>
      <w:r w:rsidR="003F4537">
        <w:rPr>
          <w:rFonts w:ascii="Century Gothic" w:hAnsi="Century Gothic"/>
          <w:sz w:val="15"/>
          <w:szCs w:val="15"/>
        </w:rPr>
        <w:t>.</w:t>
      </w:r>
    </w:p>
  </w:footnote>
  <w:footnote w:id="11">
    <w:p w14:paraId="1F83698E" w14:textId="77777777" w:rsidR="00D7353E" w:rsidRPr="00B43DFD" w:rsidRDefault="00D7353E" w:rsidP="00D7353E">
      <w:pPr>
        <w:pStyle w:val="Textonotapie"/>
      </w:pPr>
      <w:r>
        <w:rPr>
          <w:rStyle w:val="Refdenotaalpie"/>
        </w:rPr>
        <w:footnoteRef/>
      </w:r>
      <w:r>
        <w:t xml:space="preserve"> </w:t>
      </w:r>
      <w:r w:rsidRPr="003F4537">
        <w:rPr>
          <w:rFonts w:ascii="Century Gothic" w:hAnsi="Century Gothic"/>
          <w:sz w:val="15"/>
          <w:szCs w:val="15"/>
        </w:rPr>
        <w:t xml:space="preserve">Manuel Cerrada Moreno, </w:t>
      </w:r>
      <w:r w:rsidRPr="003F4537">
        <w:rPr>
          <w:rFonts w:ascii="Century Gothic" w:hAnsi="Century Gothic"/>
          <w:i/>
          <w:sz w:val="15"/>
          <w:szCs w:val="15"/>
        </w:rPr>
        <w:t xml:space="preserve">La naturaleza jurídica de la posibilidad de prescripción de los delitos, </w:t>
      </w:r>
      <w:r w:rsidRPr="003F4537">
        <w:rPr>
          <w:rFonts w:ascii="Century Gothic" w:hAnsi="Century Gothic"/>
          <w:sz w:val="15"/>
          <w:szCs w:val="15"/>
        </w:rPr>
        <w:t>en Anuario de la Facultad de Derecho Universidad de Alcalá X (2017) pág. 107.</w:t>
      </w:r>
    </w:p>
  </w:footnote>
  <w:footnote w:id="12">
    <w:p w14:paraId="0F7525E9" w14:textId="77777777" w:rsidR="00D7353E" w:rsidRDefault="00D7353E" w:rsidP="00D7353E">
      <w:pPr>
        <w:pStyle w:val="Textonotapie"/>
      </w:pPr>
      <w:r>
        <w:rPr>
          <w:rStyle w:val="Refdenotaalpie"/>
        </w:rPr>
        <w:footnoteRef/>
      </w:r>
      <w:r>
        <w:t xml:space="preserve"> </w:t>
      </w:r>
      <w:r w:rsidRPr="003F4537">
        <w:rPr>
          <w:rFonts w:ascii="Century Gothic" w:hAnsi="Century Gothic"/>
          <w:sz w:val="15"/>
          <w:szCs w:val="15"/>
        </w:rPr>
        <w:t>Sentencia C-1064 de 2000 M.P Álvaro Tafur Galvis</w:t>
      </w:r>
    </w:p>
  </w:footnote>
  <w:footnote w:id="13">
    <w:p w14:paraId="1C3C0D66" w14:textId="77777777" w:rsidR="00D7353E" w:rsidRDefault="00D7353E" w:rsidP="00D7353E">
      <w:pPr>
        <w:pStyle w:val="Textonotapie"/>
      </w:pPr>
      <w:r>
        <w:rPr>
          <w:rStyle w:val="Refdenotaalpie"/>
        </w:rPr>
        <w:footnoteRef/>
      </w:r>
      <w:r>
        <w:t xml:space="preserve"> </w:t>
      </w:r>
      <w:r w:rsidRPr="003F4537">
        <w:rPr>
          <w:rFonts w:ascii="Century Gothic" w:hAnsi="Century Gothic"/>
          <w:sz w:val="15"/>
          <w:szCs w:val="15"/>
        </w:rPr>
        <w:t>Sentencia C-738 de 2008 (Se ha destacado)</w:t>
      </w:r>
    </w:p>
  </w:footnote>
  <w:footnote w:id="14">
    <w:p w14:paraId="46DACCE8" w14:textId="77777777" w:rsidR="00D7353E" w:rsidRDefault="00D7353E" w:rsidP="00D7353E">
      <w:pPr>
        <w:pStyle w:val="Textonotapie"/>
      </w:pPr>
      <w:r>
        <w:rPr>
          <w:rStyle w:val="Refdenotaalpie"/>
        </w:rPr>
        <w:footnoteRef/>
      </w:r>
      <w:r>
        <w:t xml:space="preserve"> </w:t>
      </w:r>
      <w:r w:rsidRPr="003F4537">
        <w:rPr>
          <w:rFonts w:ascii="Century Gothic" w:hAnsi="Century Gothic"/>
          <w:sz w:val="15"/>
          <w:szCs w:val="15"/>
        </w:rPr>
        <w:t>Sentencia C-442 de 2009 (Se ha destacado)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3E4DB" w14:textId="77777777" w:rsidR="00714830" w:rsidRPr="00CE0E97" w:rsidRDefault="00714830" w:rsidP="00CE0E97">
    <w:pPr>
      <w:pStyle w:val="Encabezado"/>
      <w:tabs>
        <w:tab w:val="left" w:pos="4252"/>
      </w:tabs>
      <w:rPr>
        <w:lang w:val="es-ES_tradnl"/>
      </w:rPr>
    </w:pPr>
  </w:p>
  <w:p w14:paraId="55B8E675" w14:textId="7EDB7619" w:rsidR="00714830" w:rsidRDefault="00714830" w:rsidP="00CE0E97">
    <w:pPr>
      <w:pStyle w:val="Encabezado"/>
      <w:tabs>
        <w:tab w:val="clear" w:pos="8504"/>
        <w:tab w:val="left" w:pos="4252"/>
      </w:tabs>
      <w:jc w:val="center"/>
    </w:pPr>
    <w:r>
      <w:rPr>
        <w:noProof/>
        <w:lang w:eastAsia="es-CO"/>
      </w:rPr>
      <w:drawing>
        <wp:inline distT="0" distB="0" distL="0" distR="0" wp14:anchorId="444EA933" wp14:editId="18BDD6C8">
          <wp:extent cx="3190875" cy="638129"/>
          <wp:effectExtent l="0" t="0" r="0" b="0"/>
          <wp:docPr id="3" name="Imagen 3"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7490" cy="685449"/>
                  </a:xfrm>
                  <a:prstGeom prst="rect">
                    <a:avLst/>
                  </a:prstGeom>
                  <a:noFill/>
                  <a:ln>
                    <a:noFill/>
                  </a:ln>
                </pic:spPr>
              </pic:pic>
            </a:graphicData>
          </a:graphic>
        </wp:inline>
      </w:drawing>
    </w:r>
  </w:p>
  <w:p w14:paraId="4E020129" w14:textId="77777777" w:rsidR="00714830" w:rsidRPr="008A5BEB" w:rsidRDefault="00714830" w:rsidP="00793F85">
    <w:pPr>
      <w:pStyle w:val="Encabezado"/>
      <w:tabs>
        <w:tab w:val="clear" w:pos="8504"/>
        <w:tab w:val="left" w:pos="425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9A08AE02"/>
    <w:lvl w:ilvl="0">
      <w:start w:val="1"/>
      <w:numFmt w:val="decimal"/>
      <w:pStyle w:val="ImportWordListStyleDefinition416560225"/>
      <w:lvlText w:val="%1."/>
      <w:lvlJc w:val="left"/>
      <w:pPr>
        <w:tabs>
          <w:tab w:val="num" w:pos="-360"/>
        </w:tabs>
        <w:ind w:left="-360" w:firstLine="0"/>
      </w:pPr>
      <w:rPr>
        <w:position w:val="0"/>
      </w:rPr>
    </w:lvl>
    <w:lvl w:ilvl="1">
      <w:start w:val="1"/>
      <w:numFmt w:val="decimal"/>
      <w:lvlText w:val="%2."/>
      <w:lvlJc w:val="left"/>
      <w:pPr>
        <w:tabs>
          <w:tab w:val="num" w:pos="-360"/>
        </w:tabs>
        <w:ind w:left="-360" w:firstLine="0"/>
      </w:pPr>
      <w:rPr>
        <w:rFonts w:ascii="Arial" w:eastAsia="Arial Unicode MS" w:hAnsi="Arial" w:cs="Arial"/>
        <w:position w:val="0"/>
      </w:rPr>
    </w:lvl>
    <w:lvl w:ilvl="2">
      <w:start w:val="1"/>
      <w:numFmt w:val="decimal"/>
      <w:lvlText w:val="%3."/>
      <w:lvlJc w:val="left"/>
      <w:pPr>
        <w:tabs>
          <w:tab w:val="num" w:pos="0"/>
        </w:tabs>
        <w:ind w:left="0" w:firstLine="0"/>
      </w:pPr>
      <w:rPr>
        <w:position w:val="0"/>
      </w:rPr>
    </w:lvl>
    <w:lvl w:ilvl="3">
      <w:start w:val="1"/>
      <w:numFmt w:val="decimal"/>
      <w:lvlText w:val="%4."/>
      <w:lvlJc w:val="left"/>
      <w:pPr>
        <w:tabs>
          <w:tab w:val="num" w:pos="360"/>
        </w:tabs>
        <w:ind w:left="360" w:firstLine="0"/>
      </w:pPr>
      <w:rPr>
        <w:position w:val="0"/>
      </w:rPr>
    </w:lvl>
    <w:lvl w:ilvl="4">
      <w:start w:val="1"/>
      <w:numFmt w:val="decimal"/>
      <w:lvlText w:val="%5."/>
      <w:lvlJc w:val="left"/>
      <w:pPr>
        <w:tabs>
          <w:tab w:val="num" w:pos="360"/>
        </w:tabs>
        <w:ind w:left="360" w:firstLine="0"/>
      </w:pPr>
      <w:rPr>
        <w:position w:val="0"/>
      </w:rPr>
    </w:lvl>
    <w:lvl w:ilvl="5">
      <w:start w:val="1"/>
      <w:numFmt w:val="decimal"/>
      <w:lvlText w:val="%6."/>
      <w:lvlJc w:val="left"/>
      <w:pPr>
        <w:tabs>
          <w:tab w:val="num" w:pos="720"/>
        </w:tabs>
        <w:ind w:left="720" w:firstLine="0"/>
      </w:pPr>
      <w:rPr>
        <w:position w:val="0"/>
      </w:rPr>
    </w:lvl>
    <w:lvl w:ilvl="6">
      <w:start w:val="1"/>
      <w:numFmt w:val="decimal"/>
      <w:lvlText w:val="%7."/>
      <w:lvlJc w:val="left"/>
      <w:pPr>
        <w:tabs>
          <w:tab w:val="num" w:pos="720"/>
        </w:tabs>
        <w:ind w:left="720" w:firstLine="0"/>
      </w:pPr>
      <w:rPr>
        <w:position w:val="0"/>
      </w:rPr>
    </w:lvl>
    <w:lvl w:ilvl="7">
      <w:start w:val="1"/>
      <w:numFmt w:val="decimal"/>
      <w:lvlText w:val="%8."/>
      <w:lvlJc w:val="left"/>
      <w:pPr>
        <w:tabs>
          <w:tab w:val="num" w:pos="1080"/>
        </w:tabs>
        <w:ind w:left="1080" w:firstLine="0"/>
      </w:pPr>
      <w:rPr>
        <w:position w:val="0"/>
      </w:rPr>
    </w:lvl>
    <w:lvl w:ilvl="8">
      <w:start w:val="1"/>
      <w:numFmt w:val="decimal"/>
      <w:lvlText w:val="%9."/>
      <w:lvlJc w:val="left"/>
      <w:pPr>
        <w:tabs>
          <w:tab w:val="num" w:pos="1080"/>
        </w:tabs>
        <w:ind w:left="1080" w:firstLine="0"/>
      </w:pPr>
      <w:rPr>
        <w:position w:val="0"/>
      </w:rPr>
    </w:lvl>
  </w:abstractNum>
  <w:abstractNum w:abstractNumId="1">
    <w:nsid w:val="042D5FB3"/>
    <w:multiLevelType w:val="hybridMultilevel"/>
    <w:tmpl w:val="49221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F56A84"/>
    <w:multiLevelType w:val="hybridMultilevel"/>
    <w:tmpl w:val="B16C09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67614CF"/>
    <w:multiLevelType w:val="hybridMultilevel"/>
    <w:tmpl w:val="06F8B1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BBD7684"/>
    <w:multiLevelType w:val="hybridMultilevel"/>
    <w:tmpl w:val="49221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F32794"/>
    <w:multiLevelType w:val="hybridMultilevel"/>
    <w:tmpl w:val="CE484E5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14D60FC"/>
    <w:multiLevelType w:val="hybridMultilevel"/>
    <w:tmpl w:val="56DE0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4C7570A"/>
    <w:multiLevelType w:val="hybridMultilevel"/>
    <w:tmpl w:val="EFC6142A"/>
    <w:lvl w:ilvl="0" w:tplc="581C90B4">
      <w:numFmt w:val="bullet"/>
      <w:lvlText w:val="-"/>
      <w:lvlJc w:val="left"/>
      <w:pPr>
        <w:ind w:left="360" w:hanging="360"/>
      </w:pPr>
      <w:rPr>
        <w:rFonts w:ascii="Century Gothic" w:eastAsiaTheme="minorHAnsi" w:hAnsi="Century Gothic" w:cs="Arial" w:hint="default"/>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nsid w:val="18482ADB"/>
    <w:multiLevelType w:val="hybridMultilevel"/>
    <w:tmpl w:val="49221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373743"/>
    <w:multiLevelType w:val="hybridMultilevel"/>
    <w:tmpl w:val="4A283CBE"/>
    <w:lvl w:ilvl="0" w:tplc="597A3532">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BD024D1"/>
    <w:multiLevelType w:val="hybridMultilevel"/>
    <w:tmpl w:val="A70891E8"/>
    <w:lvl w:ilvl="0" w:tplc="3C76ED34">
      <w:start w:val="1"/>
      <w:numFmt w:val="bullet"/>
      <w:lvlText w:val="-"/>
      <w:lvlJc w:val="left"/>
      <w:pPr>
        <w:ind w:left="720" w:hanging="360"/>
      </w:pPr>
      <w:rPr>
        <w:rFonts w:ascii="Segoe UI" w:eastAsiaTheme="minorHAns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BFE0DD5"/>
    <w:multiLevelType w:val="hybridMultilevel"/>
    <w:tmpl w:val="6B6A4D7A"/>
    <w:lvl w:ilvl="0" w:tplc="CFCAEE92">
      <w:numFmt w:val="bullet"/>
      <w:lvlText w:val="-"/>
      <w:lvlJc w:val="left"/>
      <w:pPr>
        <w:ind w:left="360" w:hanging="360"/>
      </w:pPr>
      <w:rPr>
        <w:rFonts w:ascii="Century Gothic" w:eastAsiaTheme="minorEastAsia" w:hAnsi="Century Gothic" w:cs="Times New Roman" w:hint="default"/>
        <w:b/>
        <w:sz w:val="18"/>
        <w:szCs w:val="18"/>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1EE74994"/>
    <w:multiLevelType w:val="hybridMultilevel"/>
    <w:tmpl w:val="CD5845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0244DD6"/>
    <w:multiLevelType w:val="hybridMultilevel"/>
    <w:tmpl w:val="A45E3AC4"/>
    <w:lvl w:ilvl="0" w:tplc="581C90B4">
      <w:numFmt w:val="bullet"/>
      <w:lvlText w:val="-"/>
      <w:lvlJc w:val="left"/>
      <w:pPr>
        <w:ind w:left="360" w:hanging="360"/>
      </w:pPr>
      <w:rPr>
        <w:rFonts w:ascii="Century Gothic" w:eastAsiaTheme="minorHAnsi" w:hAnsi="Century Gothic" w:cs="Arial" w:hint="default"/>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nsid w:val="24453634"/>
    <w:multiLevelType w:val="hybridMultilevel"/>
    <w:tmpl w:val="184EE58C"/>
    <w:lvl w:ilvl="0" w:tplc="0A9A303E">
      <w:start w:val="5"/>
      <w:numFmt w:val="upperRoman"/>
      <w:lvlText w:val="%1."/>
      <w:lvlJc w:val="left"/>
      <w:pPr>
        <w:ind w:left="1440" w:hanging="72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nsid w:val="25CF3184"/>
    <w:multiLevelType w:val="hybridMultilevel"/>
    <w:tmpl w:val="69CAE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BEA6D87"/>
    <w:multiLevelType w:val="multilevel"/>
    <w:tmpl w:val="64D0DF30"/>
    <w:lvl w:ilvl="0">
      <w:start w:val="4"/>
      <w:numFmt w:val="decimal"/>
      <w:lvlText w:val="%1."/>
      <w:lvlJc w:val="left"/>
      <w:pPr>
        <w:ind w:left="360" w:hanging="360"/>
      </w:pPr>
      <w:rPr>
        <w:rFonts w:hint="default"/>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7">
    <w:nsid w:val="2DC179DC"/>
    <w:multiLevelType w:val="hybridMultilevel"/>
    <w:tmpl w:val="5EE4AC7E"/>
    <w:lvl w:ilvl="0" w:tplc="581C90B4">
      <w:numFmt w:val="bullet"/>
      <w:lvlText w:val="-"/>
      <w:lvlJc w:val="left"/>
      <w:pPr>
        <w:ind w:left="360" w:hanging="360"/>
      </w:pPr>
      <w:rPr>
        <w:rFonts w:ascii="Century Gothic" w:eastAsiaTheme="minorHAnsi" w:hAnsi="Century Gothic" w:cs="Arial" w:hint="default"/>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nsid w:val="2E4C642D"/>
    <w:multiLevelType w:val="multilevel"/>
    <w:tmpl w:val="CF4C184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1FB2A49"/>
    <w:multiLevelType w:val="hybridMultilevel"/>
    <w:tmpl w:val="70784A90"/>
    <w:lvl w:ilvl="0" w:tplc="A5A07A7C">
      <w:start w:val="2"/>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7155F7C"/>
    <w:multiLevelType w:val="hybridMultilevel"/>
    <w:tmpl w:val="998E631E"/>
    <w:lvl w:ilvl="0" w:tplc="09D8137E">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D467149"/>
    <w:multiLevelType w:val="multilevel"/>
    <w:tmpl w:val="8744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BC71F7"/>
    <w:multiLevelType w:val="hybridMultilevel"/>
    <w:tmpl w:val="2FE49B5E"/>
    <w:lvl w:ilvl="0" w:tplc="7B26C2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376C3E"/>
    <w:multiLevelType w:val="hybridMultilevel"/>
    <w:tmpl w:val="150EFDD4"/>
    <w:lvl w:ilvl="0" w:tplc="4C083026">
      <w:numFmt w:val="bullet"/>
      <w:lvlText w:val="-"/>
      <w:lvlJc w:val="left"/>
      <w:pPr>
        <w:ind w:left="360" w:hanging="360"/>
      </w:pPr>
      <w:rPr>
        <w:rFonts w:ascii="Century Gothic" w:eastAsiaTheme="minorHAnsi" w:hAnsi="Century Gothic" w:cs="Arial" w:hint="default"/>
        <w:b/>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nsid w:val="3F671AE2"/>
    <w:multiLevelType w:val="multilevel"/>
    <w:tmpl w:val="C4720270"/>
    <w:lvl w:ilvl="0">
      <w:start w:val="1"/>
      <w:numFmt w:val="upperRoman"/>
      <w:lvlText w:val="%1."/>
      <w:lvlJc w:val="left"/>
      <w:pPr>
        <w:ind w:left="1080" w:hanging="72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5">
    <w:nsid w:val="401515BF"/>
    <w:multiLevelType w:val="hybridMultilevel"/>
    <w:tmpl w:val="04FA4288"/>
    <w:lvl w:ilvl="0" w:tplc="581C90B4">
      <w:numFmt w:val="bullet"/>
      <w:lvlText w:val="-"/>
      <w:lvlJc w:val="left"/>
      <w:pPr>
        <w:ind w:left="360" w:hanging="360"/>
      </w:pPr>
      <w:rPr>
        <w:rFonts w:ascii="Century Gothic" w:eastAsiaTheme="minorHAnsi" w:hAnsi="Century Gothic" w:cs="Arial" w:hint="default"/>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nsid w:val="419C3350"/>
    <w:multiLevelType w:val="hybridMultilevel"/>
    <w:tmpl w:val="79620DE0"/>
    <w:lvl w:ilvl="0" w:tplc="DFEABFEC">
      <w:numFmt w:val="bullet"/>
      <w:lvlText w:val="-"/>
      <w:lvlJc w:val="left"/>
      <w:pPr>
        <w:ind w:left="360" w:hanging="360"/>
      </w:pPr>
      <w:rPr>
        <w:rFonts w:ascii="Segoe UI" w:eastAsia="Quattrocento Sans" w:hAnsi="Segoe UI" w:cs="Segoe U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42A87876"/>
    <w:multiLevelType w:val="hybridMultilevel"/>
    <w:tmpl w:val="B56A1F52"/>
    <w:lvl w:ilvl="0" w:tplc="F39C2778">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39277E0"/>
    <w:multiLevelType w:val="hybridMultilevel"/>
    <w:tmpl w:val="46D0236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nsid w:val="4A6B2504"/>
    <w:multiLevelType w:val="multilevel"/>
    <w:tmpl w:val="6774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793315"/>
    <w:multiLevelType w:val="multilevel"/>
    <w:tmpl w:val="024EED50"/>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B7A5BFF"/>
    <w:multiLevelType w:val="hybridMultilevel"/>
    <w:tmpl w:val="0AAA9C50"/>
    <w:lvl w:ilvl="0" w:tplc="3E06E4E8">
      <w:numFmt w:val="bullet"/>
      <w:lvlText w:val="-"/>
      <w:lvlJc w:val="left"/>
      <w:pPr>
        <w:ind w:left="360" w:hanging="360"/>
      </w:pPr>
      <w:rPr>
        <w:rFonts w:ascii="Century Gothic" w:eastAsiaTheme="minorHAnsi" w:hAnsi="Century Gothic" w:cs="Arial" w:hint="default"/>
        <w:b/>
        <w:sz w:val="22"/>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2">
    <w:nsid w:val="4D730538"/>
    <w:multiLevelType w:val="hybridMultilevel"/>
    <w:tmpl w:val="D7C8C1DC"/>
    <w:lvl w:ilvl="0" w:tplc="95ECFDE2">
      <w:start w:val="1"/>
      <w:numFmt w:val="low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58520CBC"/>
    <w:multiLevelType w:val="multilevel"/>
    <w:tmpl w:val="0734CCEA"/>
    <w:lvl w:ilvl="0">
      <w:start w:val="1"/>
      <w:numFmt w:val="decimal"/>
      <w:lvlText w:val="%1."/>
      <w:lvlJc w:val="left"/>
      <w:pPr>
        <w:ind w:left="660" w:hanging="660"/>
      </w:pPr>
      <w:rPr>
        <w:rFonts w:hint="default"/>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4">
    <w:nsid w:val="59EE5965"/>
    <w:multiLevelType w:val="hybridMultilevel"/>
    <w:tmpl w:val="94483AF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5">
    <w:nsid w:val="5CB00DCC"/>
    <w:multiLevelType w:val="hybridMultilevel"/>
    <w:tmpl w:val="06F8B1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1FA7585"/>
    <w:multiLevelType w:val="multilevel"/>
    <w:tmpl w:val="92FAFB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25946E7"/>
    <w:multiLevelType w:val="hybridMultilevel"/>
    <w:tmpl w:val="06F8B1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28D0B00"/>
    <w:multiLevelType w:val="multilevel"/>
    <w:tmpl w:val="4296D4F4"/>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nsid w:val="63F16EDE"/>
    <w:multiLevelType w:val="hybridMultilevel"/>
    <w:tmpl w:val="F23EE516"/>
    <w:lvl w:ilvl="0" w:tplc="E3E0C8E8">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9F368FC"/>
    <w:multiLevelType w:val="hybridMultilevel"/>
    <w:tmpl w:val="EA92A872"/>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6BC66AA3"/>
    <w:multiLevelType w:val="hybridMultilevel"/>
    <w:tmpl w:val="5C2A16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nsid w:val="6BE205D3"/>
    <w:multiLevelType w:val="hybridMultilevel"/>
    <w:tmpl w:val="DAD47BB4"/>
    <w:lvl w:ilvl="0" w:tplc="581C90B4">
      <w:numFmt w:val="bullet"/>
      <w:lvlText w:val="-"/>
      <w:lvlJc w:val="left"/>
      <w:pPr>
        <w:ind w:left="360" w:hanging="360"/>
      </w:pPr>
      <w:rPr>
        <w:rFonts w:ascii="Century Gothic" w:eastAsiaTheme="minorHAnsi" w:hAnsi="Century Gothic"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C2E5F44"/>
    <w:multiLevelType w:val="multilevel"/>
    <w:tmpl w:val="2268503C"/>
    <w:lvl w:ilvl="0">
      <w:start w:val="6"/>
      <w:numFmt w:val="bullet"/>
      <w:lvlText w:val="-"/>
      <w:lvlJc w:val="left"/>
      <w:pPr>
        <w:ind w:left="360" w:hanging="360"/>
      </w:pPr>
      <w:rPr>
        <w:rFonts w:ascii="Quattrocento Sans" w:eastAsia="Quattrocento Sans" w:hAnsi="Quattrocento Sans" w:cs="Quattrocen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nsid w:val="750506E8"/>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5836409"/>
    <w:multiLevelType w:val="multilevel"/>
    <w:tmpl w:val="D67271DC"/>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6">
    <w:nsid w:val="7A085F66"/>
    <w:multiLevelType w:val="hybridMultilevel"/>
    <w:tmpl w:val="2816531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AC770E9"/>
    <w:multiLevelType w:val="multilevel"/>
    <w:tmpl w:val="E676F49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9"/>
  </w:num>
  <w:num w:numId="3">
    <w:abstractNumId w:val="37"/>
  </w:num>
  <w:num w:numId="4">
    <w:abstractNumId w:val="4"/>
  </w:num>
  <w:num w:numId="5">
    <w:abstractNumId w:val="3"/>
  </w:num>
  <w:num w:numId="6">
    <w:abstractNumId w:val="8"/>
  </w:num>
  <w:num w:numId="7">
    <w:abstractNumId w:val="35"/>
  </w:num>
  <w:num w:numId="8">
    <w:abstractNumId w:val="1"/>
  </w:num>
  <w:num w:numId="9">
    <w:abstractNumId w:val="39"/>
  </w:num>
  <w:num w:numId="10">
    <w:abstractNumId w:val="4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1"/>
  </w:num>
  <w:num w:numId="14">
    <w:abstractNumId w:val="15"/>
  </w:num>
  <w:num w:numId="15">
    <w:abstractNumId w:val="24"/>
  </w:num>
  <w:num w:numId="16">
    <w:abstractNumId w:val="42"/>
  </w:num>
  <w:num w:numId="17">
    <w:abstractNumId w:val="46"/>
  </w:num>
  <w:num w:numId="18">
    <w:abstractNumId w:val="5"/>
  </w:num>
  <w:num w:numId="19">
    <w:abstractNumId w:val="32"/>
  </w:num>
  <w:num w:numId="20">
    <w:abstractNumId w:val="25"/>
  </w:num>
  <w:num w:numId="21">
    <w:abstractNumId w:val="34"/>
  </w:num>
  <w:num w:numId="22">
    <w:abstractNumId w:val="2"/>
  </w:num>
  <w:num w:numId="23">
    <w:abstractNumId w:val="13"/>
  </w:num>
  <w:num w:numId="24">
    <w:abstractNumId w:val="7"/>
  </w:num>
  <w:num w:numId="25">
    <w:abstractNumId w:val="14"/>
  </w:num>
  <w:num w:numId="26">
    <w:abstractNumId w:val="28"/>
  </w:num>
  <w:num w:numId="27">
    <w:abstractNumId w:val="6"/>
  </w:num>
  <w:num w:numId="28">
    <w:abstractNumId w:val="23"/>
  </w:num>
  <w:num w:numId="29">
    <w:abstractNumId w:val="31"/>
  </w:num>
  <w:num w:numId="30">
    <w:abstractNumId w:val="27"/>
  </w:num>
  <w:num w:numId="31">
    <w:abstractNumId w:val="19"/>
  </w:num>
  <w:num w:numId="32">
    <w:abstractNumId w:val="17"/>
  </w:num>
  <w:num w:numId="33">
    <w:abstractNumId w:val="29"/>
  </w:num>
  <w:num w:numId="34">
    <w:abstractNumId w:val="21"/>
  </w:num>
  <w:num w:numId="35">
    <w:abstractNumId w:val="40"/>
  </w:num>
  <w:num w:numId="36">
    <w:abstractNumId w:val="12"/>
  </w:num>
  <w:num w:numId="37">
    <w:abstractNumId w:val="30"/>
  </w:num>
  <w:num w:numId="38">
    <w:abstractNumId w:val="43"/>
  </w:num>
  <w:num w:numId="39">
    <w:abstractNumId w:val="26"/>
  </w:num>
  <w:num w:numId="40">
    <w:abstractNumId w:val="33"/>
  </w:num>
  <w:num w:numId="41">
    <w:abstractNumId w:val="18"/>
  </w:num>
  <w:num w:numId="42">
    <w:abstractNumId w:val="44"/>
  </w:num>
  <w:num w:numId="43">
    <w:abstractNumId w:val="16"/>
  </w:num>
  <w:num w:numId="44">
    <w:abstractNumId w:val="36"/>
  </w:num>
  <w:num w:numId="45">
    <w:abstractNumId w:val="47"/>
  </w:num>
  <w:num w:numId="46">
    <w:abstractNumId w:val="38"/>
  </w:num>
  <w:num w:numId="47">
    <w:abstractNumId w:val="45"/>
  </w:num>
  <w:num w:numId="4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ES" w:vendorID="64" w:dllVersion="131078" w:nlCheck="1" w:checkStyle="1"/>
  <w:activeWritingStyle w:appName="MSWord" w:lang="es-CO" w:vendorID="64" w:dllVersion="131078" w:nlCheck="1" w:checkStyle="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33"/>
    <w:rsid w:val="000031BA"/>
    <w:rsid w:val="0000360B"/>
    <w:rsid w:val="000037E3"/>
    <w:rsid w:val="000052A5"/>
    <w:rsid w:val="00005F61"/>
    <w:rsid w:val="00010000"/>
    <w:rsid w:val="00011B05"/>
    <w:rsid w:val="000130E0"/>
    <w:rsid w:val="00014050"/>
    <w:rsid w:val="000155FB"/>
    <w:rsid w:val="00020226"/>
    <w:rsid w:val="000230F9"/>
    <w:rsid w:val="000257BF"/>
    <w:rsid w:val="0002724D"/>
    <w:rsid w:val="00033A99"/>
    <w:rsid w:val="00035623"/>
    <w:rsid w:val="000360FD"/>
    <w:rsid w:val="00036B40"/>
    <w:rsid w:val="00043520"/>
    <w:rsid w:val="00043CBF"/>
    <w:rsid w:val="00044089"/>
    <w:rsid w:val="00044460"/>
    <w:rsid w:val="00044B13"/>
    <w:rsid w:val="00044E51"/>
    <w:rsid w:val="00047CBA"/>
    <w:rsid w:val="00047EDA"/>
    <w:rsid w:val="00050094"/>
    <w:rsid w:val="00050B53"/>
    <w:rsid w:val="00051A49"/>
    <w:rsid w:val="0005390F"/>
    <w:rsid w:val="00054153"/>
    <w:rsid w:val="000544DA"/>
    <w:rsid w:val="00054D68"/>
    <w:rsid w:val="00055FC5"/>
    <w:rsid w:val="000672C4"/>
    <w:rsid w:val="000726AD"/>
    <w:rsid w:val="00073B82"/>
    <w:rsid w:val="000746C7"/>
    <w:rsid w:val="000748B6"/>
    <w:rsid w:val="00075B48"/>
    <w:rsid w:val="00075C6B"/>
    <w:rsid w:val="00081074"/>
    <w:rsid w:val="000819DE"/>
    <w:rsid w:val="000834AB"/>
    <w:rsid w:val="00085241"/>
    <w:rsid w:val="000856E0"/>
    <w:rsid w:val="00085B45"/>
    <w:rsid w:val="00086E98"/>
    <w:rsid w:val="0009249B"/>
    <w:rsid w:val="00092BCF"/>
    <w:rsid w:val="00093ED5"/>
    <w:rsid w:val="00094285"/>
    <w:rsid w:val="00096B2D"/>
    <w:rsid w:val="00096DC4"/>
    <w:rsid w:val="000A0530"/>
    <w:rsid w:val="000A12EF"/>
    <w:rsid w:val="000A279D"/>
    <w:rsid w:val="000A52D4"/>
    <w:rsid w:val="000A770B"/>
    <w:rsid w:val="000B174F"/>
    <w:rsid w:val="000B312C"/>
    <w:rsid w:val="000B32DF"/>
    <w:rsid w:val="000B3D08"/>
    <w:rsid w:val="000B6617"/>
    <w:rsid w:val="000B67DD"/>
    <w:rsid w:val="000B6958"/>
    <w:rsid w:val="000B6A49"/>
    <w:rsid w:val="000C2514"/>
    <w:rsid w:val="000C37FD"/>
    <w:rsid w:val="000C596C"/>
    <w:rsid w:val="000C5D74"/>
    <w:rsid w:val="000D210D"/>
    <w:rsid w:val="000D240D"/>
    <w:rsid w:val="000D37A0"/>
    <w:rsid w:val="000D410C"/>
    <w:rsid w:val="000D560D"/>
    <w:rsid w:val="000D5D00"/>
    <w:rsid w:val="000D6CFE"/>
    <w:rsid w:val="000D79C3"/>
    <w:rsid w:val="000E0BFF"/>
    <w:rsid w:val="000E187E"/>
    <w:rsid w:val="000E2B33"/>
    <w:rsid w:val="000E2BE4"/>
    <w:rsid w:val="000E3473"/>
    <w:rsid w:val="000E3F8E"/>
    <w:rsid w:val="000E46DB"/>
    <w:rsid w:val="000E5D59"/>
    <w:rsid w:val="000E6AC9"/>
    <w:rsid w:val="000F0113"/>
    <w:rsid w:val="000F0CC8"/>
    <w:rsid w:val="000F4816"/>
    <w:rsid w:val="000F493F"/>
    <w:rsid w:val="00101271"/>
    <w:rsid w:val="00101518"/>
    <w:rsid w:val="00102760"/>
    <w:rsid w:val="00110376"/>
    <w:rsid w:val="00111255"/>
    <w:rsid w:val="0011346D"/>
    <w:rsid w:val="0011387C"/>
    <w:rsid w:val="00114DDC"/>
    <w:rsid w:val="0011632C"/>
    <w:rsid w:val="00116F6E"/>
    <w:rsid w:val="00120D48"/>
    <w:rsid w:val="001219FB"/>
    <w:rsid w:val="00124187"/>
    <w:rsid w:val="001251E0"/>
    <w:rsid w:val="0012718C"/>
    <w:rsid w:val="00130489"/>
    <w:rsid w:val="001305EC"/>
    <w:rsid w:val="0013094E"/>
    <w:rsid w:val="00131AB7"/>
    <w:rsid w:val="001325CC"/>
    <w:rsid w:val="00132B08"/>
    <w:rsid w:val="001358F5"/>
    <w:rsid w:val="001360F9"/>
    <w:rsid w:val="00137757"/>
    <w:rsid w:val="00147515"/>
    <w:rsid w:val="001518B2"/>
    <w:rsid w:val="00153942"/>
    <w:rsid w:val="00154027"/>
    <w:rsid w:val="0015503A"/>
    <w:rsid w:val="00155E02"/>
    <w:rsid w:val="00156276"/>
    <w:rsid w:val="001562D0"/>
    <w:rsid w:val="00160C7E"/>
    <w:rsid w:val="001613A5"/>
    <w:rsid w:val="001621AD"/>
    <w:rsid w:val="001626B2"/>
    <w:rsid w:val="00162F07"/>
    <w:rsid w:val="0016379C"/>
    <w:rsid w:val="001643D6"/>
    <w:rsid w:val="001648FA"/>
    <w:rsid w:val="00164ED9"/>
    <w:rsid w:val="001658E1"/>
    <w:rsid w:val="0016733D"/>
    <w:rsid w:val="0017109E"/>
    <w:rsid w:val="00171120"/>
    <w:rsid w:val="00172AA3"/>
    <w:rsid w:val="001741D8"/>
    <w:rsid w:val="00174C24"/>
    <w:rsid w:val="00174E8C"/>
    <w:rsid w:val="001755EB"/>
    <w:rsid w:val="00180694"/>
    <w:rsid w:val="00180C86"/>
    <w:rsid w:val="00180D9D"/>
    <w:rsid w:val="001817CF"/>
    <w:rsid w:val="00181B97"/>
    <w:rsid w:val="00181F10"/>
    <w:rsid w:val="00182CAC"/>
    <w:rsid w:val="00182EEA"/>
    <w:rsid w:val="001836ED"/>
    <w:rsid w:val="00186D03"/>
    <w:rsid w:val="0018758B"/>
    <w:rsid w:val="0018770F"/>
    <w:rsid w:val="00187CA3"/>
    <w:rsid w:val="00190185"/>
    <w:rsid w:val="00190F5D"/>
    <w:rsid w:val="00193832"/>
    <w:rsid w:val="001938FA"/>
    <w:rsid w:val="0019695C"/>
    <w:rsid w:val="00197D80"/>
    <w:rsid w:val="001A1000"/>
    <w:rsid w:val="001A14B7"/>
    <w:rsid w:val="001A2F69"/>
    <w:rsid w:val="001A46D6"/>
    <w:rsid w:val="001A59E9"/>
    <w:rsid w:val="001A67B7"/>
    <w:rsid w:val="001A7A8E"/>
    <w:rsid w:val="001B0EEE"/>
    <w:rsid w:val="001B2698"/>
    <w:rsid w:val="001B285C"/>
    <w:rsid w:val="001B40CC"/>
    <w:rsid w:val="001B5E6B"/>
    <w:rsid w:val="001B6AC4"/>
    <w:rsid w:val="001B70BC"/>
    <w:rsid w:val="001B7423"/>
    <w:rsid w:val="001C031A"/>
    <w:rsid w:val="001C1C76"/>
    <w:rsid w:val="001C3C15"/>
    <w:rsid w:val="001C418B"/>
    <w:rsid w:val="001C4DA5"/>
    <w:rsid w:val="001C5B30"/>
    <w:rsid w:val="001D3A79"/>
    <w:rsid w:val="001D3A85"/>
    <w:rsid w:val="001D3F3E"/>
    <w:rsid w:val="001E257C"/>
    <w:rsid w:val="001E3463"/>
    <w:rsid w:val="001E4F6C"/>
    <w:rsid w:val="001E6081"/>
    <w:rsid w:val="001E6E1A"/>
    <w:rsid w:val="001F067C"/>
    <w:rsid w:val="001F0CFC"/>
    <w:rsid w:val="001F2FA1"/>
    <w:rsid w:val="001F3214"/>
    <w:rsid w:val="001F5BEB"/>
    <w:rsid w:val="001F6E48"/>
    <w:rsid w:val="001F7074"/>
    <w:rsid w:val="001F7524"/>
    <w:rsid w:val="00200D54"/>
    <w:rsid w:val="00202313"/>
    <w:rsid w:val="002128BA"/>
    <w:rsid w:val="00213910"/>
    <w:rsid w:val="00214A3D"/>
    <w:rsid w:val="00214CCB"/>
    <w:rsid w:val="00214DE2"/>
    <w:rsid w:val="00215535"/>
    <w:rsid w:val="0021582F"/>
    <w:rsid w:val="00217E0C"/>
    <w:rsid w:val="002218AB"/>
    <w:rsid w:val="00225386"/>
    <w:rsid w:val="002253B0"/>
    <w:rsid w:val="00226079"/>
    <w:rsid w:val="00227B61"/>
    <w:rsid w:val="00230916"/>
    <w:rsid w:val="00231373"/>
    <w:rsid w:val="00237BC6"/>
    <w:rsid w:val="00240337"/>
    <w:rsid w:val="0024047C"/>
    <w:rsid w:val="00240BF4"/>
    <w:rsid w:val="00242409"/>
    <w:rsid w:val="002429FE"/>
    <w:rsid w:val="00242FD9"/>
    <w:rsid w:val="00244393"/>
    <w:rsid w:val="00250BAC"/>
    <w:rsid w:val="00252C27"/>
    <w:rsid w:val="00254FCD"/>
    <w:rsid w:val="00256D0C"/>
    <w:rsid w:val="00263876"/>
    <w:rsid w:val="00266486"/>
    <w:rsid w:val="00266BEA"/>
    <w:rsid w:val="00272FCD"/>
    <w:rsid w:val="00282E86"/>
    <w:rsid w:val="0028535A"/>
    <w:rsid w:val="00285F16"/>
    <w:rsid w:val="0028686C"/>
    <w:rsid w:val="0028721D"/>
    <w:rsid w:val="00294F07"/>
    <w:rsid w:val="002954A8"/>
    <w:rsid w:val="0029603E"/>
    <w:rsid w:val="002968BD"/>
    <w:rsid w:val="002A081B"/>
    <w:rsid w:val="002A45C4"/>
    <w:rsid w:val="002A5043"/>
    <w:rsid w:val="002A556B"/>
    <w:rsid w:val="002B18BE"/>
    <w:rsid w:val="002B1A24"/>
    <w:rsid w:val="002B2C47"/>
    <w:rsid w:val="002B3A5C"/>
    <w:rsid w:val="002B3DDE"/>
    <w:rsid w:val="002B3E10"/>
    <w:rsid w:val="002B5583"/>
    <w:rsid w:val="002B6872"/>
    <w:rsid w:val="002B6D20"/>
    <w:rsid w:val="002B741A"/>
    <w:rsid w:val="002B774D"/>
    <w:rsid w:val="002C0636"/>
    <w:rsid w:val="002C1C1D"/>
    <w:rsid w:val="002C26E9"/>
    <w:rsid w:val="002D119B"/>
    <w:rsid w:val="002D468A"/>
    <w:rsid w:val="002D5396"/>
    <w:rsid w:val="002D54DA"/>
    <w:rsid w:val="002D6A1E"/>
    <w:rsid w:val="002D7D12"/>
    <w:rsid w:val="002E115C"/>
    <w:rsid w:val="002E11B9"/>
    <w:rsid w:val="002E1EF7"/>
    <w:rsid w:val="002E3912"/>
    <w:rsid w:val="002E6420"/>
    <w:rsid w:val="002E6477"/>
    <w:rsid w:val="002F314E"/>
    <w:rsid w:val="002F6042"/>
    <w:rsid w:val="002F6701"/>
    <w:rsid w:val="002F7CDB"/>
    <w:rsid w:val="002F7CEA"/>
    <w:rsid w:val="00300A0C"/>
    <w:rsid w:val="00304A55"/>
    <w:rsid w:val="00305CF0"/>
    <w:rsid w:val="003061B4"/>
    <w:rsid w:val="00306CE2"/>
    <w:rsid w:val="00312F3C"/>
    <w:rsid w:val="00313D9B"/>
    <w:rsid w:val="00315A5D"/>
    <w:rsid w:val="00316F75"/>
    <w:rsid w:val="00320C4B"/>
    <w:rsid w:val="00322EAA"/>
    <w:rsid w:val="00322F3D"/>
    <w:rsid w:val="00323757"/>
    <w:rsid w:val="00325533"/>
    <w:rsid w:val="00325BDD"/>
    <w:rsid w:val="00326AC9"/>
    <w:rsid w:val="00331190"/>
    <w:rsid w:val="00332A5D"/>
    <w:rsid w:val="00333CEE"/>
    <w:rsid w:val="00333D3F"/>
    <w:rsid w:val="00335088"/>
    <w:rsid w:val="003363D7"/>
    <w:rsid w:val="003367EA"/>
    <w:rsid w:val="00350CFF"/>
    <w:rsid w:val="00350E7B"/>
    <w:rsid w:val="0035234A"/>
    <w:rsid w:val="00352ABE"/>
    <w:rsid w:val="0035348F"/>
    <w:rsid w:val="0035457B"/>
    <w:rsid w:val="003572D7"/>
    <w:rsid w:val="003600FA"/>
    <w:rsid w:val="003641BA"/>
    <w:rsid w:val="003644E2"/>
    <w:rsid w:val="00364E59"/>
    <w:rsid w:val="00366180"/>
    <w:rsid w:val="00366D8E"/>
    <w:rsid w:val="003673F8"/>
    <w:rsid w:val="003737EB"/>
    <w:rsid w:val="00373DB3"/>
    <w:rsid w:val="00374B0D"/>
    <w:rsid w:val="00375D8E"/>
    <w:rsid w:val="0037647C"/>
    <w:rsid w:val="003854B3"/>
    <w:rsid w:val="00385B23"/>
    <w:rsid w:val="00385F5A"/>
    <w:rsid w:val="003900FD"/>
    <w:rsid w:val="00390401"/>
    <w:rsid w:val="00391A17"/>
    <w:rsid w:val="00391ED0"/>
    <w:rsid w:val="00393390"/>
    <w:rsid w:val="003938BC"/>
    <w:rsid w:val="00393FD9"/>
    <w:rsid w:val="00394E3C"/>
    <w:rsid w:val="00395553"/>
    <w:rsid w:val="00397749"/>
    <w:rsid w:val="003A1979"/>
    <w:rsid w:val="003A3986"/>
    <w:rsid w:val="003A4478"/>
    <w:rsid w:val="003A4CAD"/>
    <w:rsid w:val="003A69D3"/>
    <w:rsid w:val="003A7BB4"/>
    <w:rsid w:val="003A7F0D"/>
    <w:rsid w:val="003B0026"/>
    <w:rsid w:val="003B0414"/>
    <w:rsid w:val="003B105C"/>
    <w:rsid w:val="003B42EA"/>
    <w:rsid w:val="003B4550"/>
    <w:rsid w:val="003B4949"/>
    <w:rsid w:val="003B499A"/>
    <w:rsid w:val="003B5452"/>
    <w:rsid w:val="003B5695"/>
    <w:rsid w:val="003B5D7B"/>
    <w:rsid w:val="003B7156"/>
    <w:rsid w:val="003C18A0"/>
    <w:rsid w:val="003C2553"/>
    <w:rsid w:val="003C3000"/>
    <w:rsid w:val="003C3013"/>
    <w:rsid w:val="003C4B50"/>
    <w:rsid w:val="003C7DBC"/>
    <w:rsid w:val="003D0FED"/>
    <w:rsid w:val="003D29CD"/>
    <w:rsid w:val="003D39F4"/>
    <w:rsid w:val="003D4A09"/>
    <w:rsid w:val="003D512D"/>
    <w:rsid w:val="003D55A7"/>
    <w:rsid w:val="003E0499"/>
    <w:rsid w:val="003E1009"/>
    <w:rsid w:val="003E1AC9"/>
    <w:rsid w:val="003E1DAE"/>
    <w:rsid w:val="003E1E82"/>
    <w:rsid w:val="003E2465"/>
    <w:rsid w:val="003E4174"/>
    <w:rsid w:val="003E5CB6"/>
    <w:rsid w:val="003E5DFF"/>
    <w:rsid w:val="003F0BC4"/>
    <w:rsid w:val="003F4537"/>
    <w:rsid w:val="003F618B"/>
    <w:rsid w:val="003F6374"/>
    <w:rsid w:val="0040007D"/>
    <w:rsid w:val="0040065D"/>
    <w:rsid w:val="004015F0"/>
    <w:rsid w:val="0040344A"/>
    <w:rsid w:val="00403F3A"/>
    <w:rsid w:val="0040414D"/>
    <w:rsid w:val="00407C99"/>
    <w:rsid w:val="00411552"/>
    <w:rsid w:val="00414BC1"/>
    <w:rsid w:val="00415161"/>
    <w:rsid w:val="0041581B"/>
    <w:rsid w:val="004168BC"/>
    <w:rsid w:val="00420ABB"/>
    <w:rsid w:val="00421446"/>
    <w:rsid w:val="00422FE0"/>
    <w:rsid w:val="004248F7"/>
    <w:rsid w:val="00424D51"/>
    <w:rsid w:val="00425E9C"/>
    <w:rsid w:val="004262B3"/>
    <w:rsid w:val="00432F1C"/>
    <w:rsid w:val="00435869"/>
    <w:rsid w:val="00436671"/>
    <w:rsid w:val="00436C39"/>
    <w:rsid w:val="0043783E"/>
    <w:rsid w:val="00441CDA"/>
    <w:rsid w:val="00443432"/>
    <w:rsid w:val="004454A1"/>
    <w:rsid w:val="00446C3B"/>
    <w:rsid w:val="004502FD"/>
    <w:rsid w:val="00451260"/>
    <w:rsid w:val="00451421"/>
    <w:rsid w:val="004548CE"/>
    <w:rsid w:val="00454CD8"/>
    <w:rsid w:val="00455C09"/>
    <w:rsid w:val="00456F19"/>
    <w:rsid w:val="00460061"/>
    <w:rsid w:val="00461206"/>
    <w:rsid w:val="0046140A"/>
    <w:rsid w:val="00475843"/>
    <w:rsid w:val="00476506"/>
    <w:rsid w:val="00481908"/>
    <w:rsid w:val="00482AE7"/>
    <w:rsid w:val="004847C0"/>
    <w:rsid w:val="00484C05"/>
    <w:rsid w:val="00485234"/>
    <w:rsid w:val="004858FE"/>
    <w:rsid w:val="00485FB0"/>
    <w:rsid w:val="00486064"/>
    <w:rsid w:val="00494498"/>
    <w:rsid w:val="00494736"/>
    <w:rsid w:val="00495CDD"/>
    <w:rsid w:val="00496256"/>
    <w:rsid w:val="004A0F00"/>
    <w:rsid w:val="004A102B"/>
    <w:rsid w:val="004A1692"/>
    <w:rsid w:val="004A235D"/>
    <w:rsid w:val="004B033B"/>
    <w:rsid w:val="004B0DF5"/>
    <w:rsid w:val="004B0F0C"/>
    <w:rsid w:val="004B172B"/>
    <w:rsid w:val="004B1791"/>
    <w:rsid w:val="004B3C92"/>
    <w:rsid w:val="004B5C33"/>
    <w:rsid w:val="004B73FA"/>
    <w:rsid w:val="004C09F5"/>
    <w:rsid w:val="004C3BD0"/>
    <w:rsid w:val="004C61A3"/>
    <w:rsid w:val="004C7D19"/>
    <w:rsid w:val="004C7FDA"/>
    <w:rsid w:val="004D0461"/>
    <w:rsid w:val="004D1D8B"/>
    <w:rsid w:val="004D2756"/>
    <w:rsid w:val="004D4672"/>
    <w:rsid w:val="004D47EC"/>
    <w:rsid w:val="004D5015"/>
    <w:rsid w:val="004D555F"/>
    <w:rsid w:val="004E1E34"/>
    <w:rsid w:val="004E2485"/>
    <w:rsid w:val="004E4C4F"/>
    <w:rsid w:val="004E7283"/>
    <w:rsid w:val="004E7B37"/>
    <w:rsid w:val="004F1B2F"/>
    <w:rsid w:val="004F2233"/>
    <w:rsid w:val="004F3793"/>
    <w:rsid w:val="004F532D"/>
    <w:rsid w:val="004F637C"/>
    <w:rsid w:val="004F6FBA"/>
    <w:rsid w:val="005018BA"/>
    <w:rsid w:val="005028A8"/>
    <w:rsid w:val="005032D7"/>
    <w:rsid w:val="00510717"/>
    <w:rsid w:val="00511F14"/>
    <w:rsid w:val="00512870"/>
    <w:rsid w:val="00517595"/>
    <w:rsid w:val="0052078C"/>
    <w:rsid w:val="00521558"/>
    <w:rsid w:val="00524740"/>
    <w:rsid w:val="00524884"/>
    <w:rsid w:val="005248EA"/>
    <w:rsid w:val="005271AC"/>
    <w:rsid w:val="005301D7"/>
    <w:rsid w:val="00534272"/>
    <w:rsid w:val="00536859"/>
    <w:rsid w:val="00540339"/>
    <w:rsid w:val="00542E7E"/>
    <w:rsid w:val="0054704C"/>
    <w:rsid w:val="005477A6"/>
    <w:rsid w:val="005504A7"/>
    <w:rsid w:val="00555C66"/>
    <w:rsid w:val="0055667A"/>
    <w:rsid w:val="005571B9"/>
    <w:rsid w:val="005602F5"/>
    <w:rsid w:val="00561252"/>
    <w:rsid w:val="00562ADE"/>
    <w:rsid w:val="00562FCB"/>
    <w:rsid w:val="0056345B"/>
    <w:rsid w:val="005663A0"/>
    <w:rsid w:val="00567918"/>
    <w:rsid w:val="00570C08"/>
    <w:rsid w:val="00570DA4"/>
    <w:rsid w:val="00571EC1"/>
    <w:rsid w:val="0057284A"/>
    <w:rsid w:val="005740C2"/>
    <w:rsid w:val="00575E5F"/>
    <w:rsid w:val="005761D5"/>
    <w:rsid w:val="00581689"/>
    <w:rsid w:val="00581CF0"/>
    <w:rsid w:val="00582D40"/>
    <w:rsid w:val="00583172"/>
    <w:rsid w:val="005832B3"/>
    <w:rsid w:val="00583A06"/>
    <w:rsid w:val="00584DD2"/>
    <w:rsid w:val="00590CE2"/>
    <w:rsid w:val="005911CF"/>
    <w:rsid w:val="00592032"/>
    <w:rsid w:val="00594196"/>
    <w:rsid w:val="0059495B"/>
    <w:rsid w:val="00594C61"/>
    <w:rsid w:val="00595B6F"/>
    <w:rsid w:val="0059746F"/>
    <w:rsid w:val="00597529"/>
    <w:rsid w:val="00597C5B"/>
    <w:rsid w:val="005A1D21"/>
    <w:rsid w:val="005A24CC"/>
    <w:rsid w:val="005A3D5C"/>
    <w:rsid w:val="005A41D8"/>
    <w:rsid w:val="005A5509"/>
    <w:rsid w:val="005B274B"/>
    <w:rsid w:val="005B31FD"/>
    <w:rsid w:val="005B32BE"/>
    <w:rsid w:val="005B42CC"/>
    <w:rsid w:val="005B45A2"/>
    <w:rsid w:val="005B5BC8"/>
    <w:rsid w:val="005C545E"/>
    <w:rsid w:val="005D05ED"/>
    <w:rsid w:val="005D09A4"/>
    <w:rsid w:val="005D1574"/>
    <w:rsid w:val="005D6AAD"/>
    <w:rsid w:val="005D7C6B"/>
    <w:rsid w:val="005E02D3"/>
    <w:rsid w:val="005E46E5"/>
    <w:rsid w:val="005E72B4"/>
    <w:rsid w:val="005E7606"/>
    <w:rsid w:val="005F2692"/>
    <w:rsid w:val="005F338B"/>
    <w:rsid w:val="005F57F5"/>
    <w:rsid w:val="005F5A28"/>
    <w:rsid w:val="005F5A62"/>
    <w:rsid w:val="005F65A2"/>
    <w:rsid w:val="00601486"/>
    <w:rsid w:val="00601749"/>
    <w:rsid w:val="00603101"/>
    <w:rsid w:val="0060360D"/>
    <w:rsid w:val="006050E4"/>
    <w:rsid w:val="00605DB2"/>
    <w:rsid w:val="00610A8F"/>
    <w:rsid w:val="0061315D"/>
    <w:rsid w:val="006132BE"/>
    <w:rsid w:val="00613ECA"/>
    <w:rsid w:val="006168EE"/>
    <w:rsid w:val="00616C3E"/>
    <w:rsid w:val="00616F22"/>
    <w:rsid w:val="0061759D"/>
    <w:rsid w:val="006212F3"/>
    <w:rsid w:val="00621DEA"/>
    <w:rsid w:val="00625B67"/>
    <w:rsid w:val="00627BF0"/>
    <w:rsid w:val="00627D1E"/>
    <w:rsid w:val="00632078"/>
    <w:rsid w:val="00635B07"/>
    <w:rsid w:val="00635EBD"/>
    <w:rsid w:val="006375F9"/>
    <w:rsid w:val="00640724"/>
    <w:rsid w:val="0064183B"/>
    <w:rsid w:val="00642C12"/>
    <w:rsid w:val="006449D4"/>
    <w:rsid w:val="0065077E"/>
    <w:rsid w:val="006511A1"/>
    <w:rsid w:val="00654A21"/>
    <w:rsid w:val="00654EAD"/>
    <w:rsid w:val="0065533F"/>
    <w:rsid w:val="00657D5B"/>
    <w:rsid w:val="00657D65"/>
    <w:rsid w:val="00661ABA"/>
    <w:rsid w:val="00662BB4"/>
    <w:rsid w:val="00663634"/>
    <w:rsid w:val="00663781"/>
    <w:rsid w:val="00666AD6"/>
    <w:rsid w:val="006722EB"/>
    <w:rsid w:val="00672617"/>
    <w:rsid w:val="00672A4B"/>
    <w:rsid w:val="006731E4"/>
    <w:rsid w:val="00673567"/>
    <w:rsid w:val="00674224"/>
    <w:rsid w:val="00675E3B"/>
    <w:rsid w:val="00677058"/>
    <w:rsid w:val="00677074"/>
    <w:rsid w:val="00680615"/>
    <w:rsid w:val="00680B62"/>
    <w:rsid w:val="00681A9B"/>
    <w:rsid w:val="006824AE"/>
    <w:rsid w:val="0068617C"/>
    <w:rsid w:val="00686369"/>
    <w:rsid w:val="00686553"/>
    <w:rsid w:val="00690202"/>
    <w:rsid w:val="00690A25"/>
    <w:rsid w:val="0069153B"/>
    <w:rsid w:val="00691783"/>
    <w:rsid w:val="00693D67"/>
    <w:rsid w:val="00693EC1"/>
    <w:rsid w:val="006955EC"/>
    <w:rsid w:val="00695637"/>
    <w:rsid w:val="0069594D"/>
    <w:rsid w:val="006961E7"/>
    <w:rsid w:val="006A2727"/>
    <w:rsid w:val="006A3055"/>
    <w:rsid w:val="006A4B93"/>
    <w:rsid w:val="006A78F8"/>
    <w:rsid w:val="006B049E"/>
    <w:rsid w:val="006B1DDE"/>
    <w:rsid w:val="006B2726"/>
    <w:rsid w:val="006B275E"/>
    <w:rsid w:val="006B2A00"/>
    <w:rsid w:val="006B3971"/>
    <w:rsid w:val="006B6386"/>
    <w:rsid w:val="006B7837"/>
    <w:rsid w:val="006C0826"/>
    <w:rsid w:val="006C09C2"/>
    <w:rsid w:val="006C12ED"/>
    <w:rsid w:val="006C2446"/>
    <w:rsid w:val="006C52CF"/>
    <w:rsid w:val="006C540B"/>
    <w:rsid w:val="006C5D60"/>
    <w:rsid w:val="006C6210"/>
    <w:rsid w:val="006D0718"/>
    <w:rsid w:val="006D669B"/>
    <w:rsid w:val="006D6794"/>
    <w:rsid w:val="006D7092"/>
    <w:rsid w:val="006E2B4B"/>
    <w:rsid w:val="006E3567"/>
    <w:rsid w:val="006E44B9"/>
    <w:rsid w:val="006E4654"/>
    <w:rsid w:val="006E50F4"/>
    <w:rsid w:val="006E5271"/>
    <w:rsid w:val="006E55FB"/>
    <w:rsid w:val="006F0FD7"/>
    <w:rsid w:val="006F293D"/>
    <w:rsid w:val="006F3B7F"/>
    <w:rsid w:val="006F4243"/>
    <w:rsid w:val="006F55C0"/>
    <w:rsid w:val="006F7026"/>
    <w:rsid w:val="00700E23"/>
    <w:rsid w:val="00701088"/>
    <w:rsid w:val="007018FE"/>
    <w:rsid w:val="007057EC"/>
    <w:rsid w:val="0070753F"/>
    <w:rsid w:val="00714008"/>
    <w:rsid w:val="00714830"/>
    <w:rsid w:val="007153E1"/>
    <w:rsid w:val="0071541A"/>
    <w:rsid w:val="0072254A"/>
    <w:rsid w:val="00724286"/>
    <w:rsid w:val="00724685"/>
    <w:rsid w:val="00725470"/>
    <w:rsid w:val="00725C66"/>
    <w:rsid w:val="00731E6B"/>
    <w:rsid w:val="00732002"/>
    <w:rsid w:val="00733C94"/>
    <w:rsid w:val="00733F51"/>
    <w:rsid w:val="007434DB"/>
    <w:rsid w:val="00743731"/>
    <w:rsid w:val="007454B2"/>
    <w:rsid w:val="0074709B"/>
    <w:rsid w:val="00747202"/>
    <w:rsid w:val="007536BB"/>
    <w:rsid w:val="007537B7"/>
    <w:rsid w:val="00757C27"/>
    <w:rsid w:val="0076029D"/>
    <w:rsid w:val="00763C8C"/>
    <w:rsid w:val="00764048"/>
    <w:rsid w:val="0076698E"/>
    <w:rsid w:val="0077009E"/>
    <w:rsid w:val="00771EAC"/>
    <w:rsid w:val="00772FCF"/>
    <w:rsid w:val="00774324"/>
    <w:rsid w:val="0077453B"/>
    <w:rsid w:val="0077454C"/>
    <w:rsid w:val="007750B8"/>
    <w:rsid w:val="0077659A"/>
    <w:rsid w:val="007805E2"/>
    <w:rsid w:val="00781132"/>
    <w:rsid w:val="0078130E"/>
    <w:rsid w:val="00781D0E"/>
    <w:rsid w:val="007846F6"/>
    <w:rsid w:val="00784E94"/>
    <w:rsid w:val="00785D3A"/>
    <w:rsid w:val="00786749"/>
    <w:rsid w:val="00786B07"/>
    <w:rsid w:val="007906DC"/>
    <w:rsid w:val="00793F85"/>
    <w:rsid w:val="007A0FE4"/>
    <w:rsid w:val="007A14C6"/>
    <w:rsid w:val="007A21ED"/>
    <w:rsid w:val="007A2C17"/>
    <w:rsid w:val="007A394C"/>
    <w:rsid w:val="007A4CD5"/>
    <w:rsid w:val="007A73D9"/>
    <w:rsid w:val="007B1E19"/>
    <w:rsid w:val="007B1ED2"/>
    <w:rsid w:val="007B362E"/>
    <w:rsid w:val="007B55C5"/>
    <w:rsid w:val="007B75DE"/>
    <w:rsid w:val="007C10BD"/>
    <w:rsid w:val="007C4A58"/>
    <w:rsid w:val="007C5976"/>
    <w:rsid w:val="007C6CFE"/>
    <w:rsid w:val="007D2F0F"/>
    <w:rsid w:val="007D5719"/>
    <w:rsid w:val="007D5B64"/>
    <w:rsid w:val="007D6430"/>
    <w:rsid w:val="007D7CB9"/>
    <w:rsid w:val="007E24A8"/>
    <w:rsid w:val="007E25B8"/>
    <w:rsid w:val="007F06ED"/>
    <w:rsid w:val="007F15AF"/>
    <w:rsid w:val="007F18B5"/>
    <w:rsid w:val="007F1B9B"/>
    <w:rsid w:val="007F21F5"/>
    <w:rsid w:val="007F37DC"/>
    <w:rsid w:val="007F3A6D"/>
    <w:rsid w:val="007F56A6"/>
    <w:rsid w:val="007F6525"/>
    <w:rsid w:val="007F707A"/>
    <w:rsid w:val="007F7512"/>
    <w:rsid w:val="0080106C"/>
    <w:rsid w:val="00802CD7"/>
    <w:rsid w:val="00803E55"/>
    <w:rsid w:val="00804A0C"/>
    <w:rsid w:val="008073D9"/>
    <w:rsid w:val="00810721"/>
    <w:rsid w:val="00811398"/>
    <w:rsid w:val="00816D8C"/>
    <w:rsid w:val="00817F17"/>
    <w:rsid w:val="00822B88"/>
    <w:rsid w:val="00822D57"/>
    <w:rsid w:val="00824925"/>
    <w:rsid w:val="00824E5D"/>
    <w:rsid w:val="00825041"/>
    <w:rsid w:val="0082569A"/>
    <w:rsid w:val="00827D20"/>
    <w:rsid w:val="008316A6"/>
    <w:rsid w:val="00831DCB"/>
    <w:rsid w:val="00835438"/>
    <w:rsid w:val="00836020"/>
    <w:rsid w:val="008362F7"/>
    <w:rsid w:val="00837A42"/>
    <w:rsid w:val="008441EB"/>
    <w:rsid w:val="00844816"/>
    <w:rsid w:val="00844F0A"/>
    <w:rsid w:val="00847783"/>
    <w:rsid w:val="00850243"/>
    <w:rsid w:val="0085053B"/>
    <w:rsid w:val="00850E51"/>
    <w:rsid w:val="00852687"/>
    <w:rsid w:val="00852DCE"/>
    <w:rsid w:val="00856593"/>
    <w:rsid w:val="0086304A"/>
    <w:rsid w:val="008631A8"/>
    <w:rsid w:val="00864DF0"/>
    <w:rsid w:val="0086500A"/>
    <w:rsid w:val="0086555B"/>
    <w:rsid w:val="008655E6"/>
    <w:rsid w:val="008706F3"/>
    <w:rsid w:val="00870CD5"/>
    <w:rsid w:val="00873A43"/>
    <w:rsid w:val="00875C16"/>
    <w:rsid w:val="0087665C"/>
    <w:rsid w:val="008770F4"/>
    <w:rsid w:val="0088126E"/>
    <w:rsid w:val="00881EA8"/>
    <w:rsid w:val="0088238C"/>
    <w:rsid w:val="00886B53"/>
    <w:rsid w:val="008875DE"/>
    <w:rsid w:val="00892DE3"/>
    <w:rsid w:val="00897651"/>
    <w:rsid w:val="008A1CDB"/>
    <w:rsid w:val="008A5214"/>
    <w:rsid w:val="008A56B3"/>
    <w:rsid w:val="008A5A52"/>
    <w:rsid w:val="008A5BEB"/>
    <w:rsid w:val="008A5F88"/>
    <w:rsid w:val="008A6593"/>
    <w:rsid w:val="008A7B6E"/>
    <w:rsid w:val="008B03F4"/>
    <w:rsid w:val="008B1AAD"/>
    <w:rsid w:val="008B3046"/>
    <w:rsid w:val="008B3817"/>
    <w:rsid w:val="008C095A"/>
    <w:rsid w:val="008C0AE4"/>
    <w:rsid w:val="008C1DDA"/>
    <w:rsid w:val="008C3C6D"/>
    <w:rsid w:val="008C709E"/>
    <w:rsid w:val="008D29D4"/>
    <w:rsid w:val="008D403D"/>
    <w:rsid w:val="008D557F"/>
    <w:rsid w:val="008D5C9A"/>
    <w:rsid w:val="008D7DA7"/>
    <w:rsid w:val="008E2FC0"/>
    <w:rsid w:val="008E649B"/>
    <w:rsid w:val="008E7335"/>
    <w:rsid w:val="008E7C28"/>
    <w:rsid w:val="008F0779"/>
    <w:rsid w:val="008F3368"/>
    <w:rsid w:val="008F6FF2"/>
    <w:rsid w:val="008F708C"/>
    <w:rsid w:val="008F70F0"/>
    <w:rsid w:val="008F7527"/>
    <w:rsid w:val="00901E38"/>
    <w:rsid w:val="009035C3"/>
    <w:rsid w:val="009040F4"/>
    <w:rsid w:val="00904201"/>
    <w:rsid w:val="00904BA2"/>
    <w:rsid w:val="00905705"/>
    <w:rsid w:val="00905EDB"/>
    <w:rsid w:val="0090695C"/>
    <w:rsid w:val="00906F8F"/>
    <w:rsid w:val="009102BF"/>
    <w:rsid w:val="0091346B"/>
    <w:rsid w:val="009173E3"/>
    <w:rsid w:val="009204AE"/>
    <w:rsid w:val="00921D3D"/>
    <w:rsid w:val="00931802"/>
    <w:rsid w:val="00933B3A"/>
    <w:rsid w:val="009404A0"/>
    <w:rsid w:val="00941884"/>
    <w:rsid w:val="009419A9"/>
    <w:rsid w:val="0095131A"/>
    <w:rsid w:val="00951B9C"/>
    <w:rsid w:val="00953523"/>
    <w:rsid w:val="00953AEE"/>
    <w:rsid w:val="00954CBC"/>
    <w:rsid w:val="00954EB9"/>
    <w:rsid w:val="00957DAD"/>
    <w:rsid w:val="00957F47"/>
    <w:rsid w:val="00962476"/>
    <w:rsid w:val="00964F6A"/>
    <w:rsid w:val="009658E9"/>
    <w:rsid w:val="00967746"/>
    <w:rsid w:val="00970A1B"/>
    <w:rsid w:val="00972BD1"/>
    <w:rsid w:val="00974102"/>
    <w:rsid w:val="009800D5"/>
    <w:rsid w:val="00980781"/>
    <w:rsid w:val="00981C75"/>
    <w:rsid w:val="009838AD"/>
    <w:rsid w:val="00985953"/>
    <w:rsid w:val="009918A6"/>
    <w:rsid w:val="009924ED"/>
    <w:rsid w:val="009926EC"/>
    <w:rsid w:val="00992E5C"/>
    <w:rsid w:val="009938FE"/>
    <w:rsid w:val="00993934"/>
    <w:rsid w:val="00994D49"/>
    <w:rsid w:val="00994F93"/>
    <w:rsid w:val="00995C89"/>
    <w:rsid w:val="009962FD"/>
    <w:rsid w:val="009966DE"/>
    <w:rsid w:val="0099682E"/>
    <w:rsid w:val="009A0BF2"/>
    <w:rsid w:val="009A7DB6"/>
    <w:rsid w:val="009B0B93"/>
    <w:rsid w:val="009B2746"/>
    <w:rsid w:val="009B4BF4"/>
    <w:rsid w:val="009B7370"/>
    <w:rsid w:val="009C1873"/>
    <w:rsid w:val="009C3361"/>
    <w:rsid w:val="009C3C69"/>
    <w:rsid w:val="009C4495"/>
    <w:rsid w:val="009C5C23"/>
    <w:rsid w:val="009C73B5"/>
    <w:rsid w:val="009C759F"/>
    <w:rsid w:val="009D0DFF"/>
    <w:rsid w:val="009D2F82"/>
    <w:rsid w:val="009E0276"/>
    <w:rsid w:val="009E0961"/>
    <w:rsid w:val="009E1652"/>
    <w:rsid w:val="009E3A37"/>
    <w:rsid w:val="009E3CA4"/>
    <w:rsid w:val="009E4E07"/>
    <w:rsid w:val="009F140A"/>
    <w:rsid w:val="009F1F95"/>
    <w:rsid w:val="009F5DC1"/>
    <w:rsid w:val="00A00CAE"/>
    <w:rsid w:val="00A02C0E"/>
    <w:rsid w:val="00A03826"/>
    <w:rsid w:val="00A03B74"/>
    <w:rsid w:val="00A03FFB"/>
    <w:rsid w:val="00A05236"/>
    <w:rsid w:val="00A06CE7"/>
    <w:rsid w:val="00A07871"/>
    <w:rsid w:val="00A10A32"/>
    <w:rsid w:val="00A11849"/>
    <w:rsid w:val="00A1240A"/>
    <w:rsid w:val="00A1319C"/>
    <w:rsid w:val="00A15D32"/>
    <w:rsid w:val="00A1667C"/>
    <w:rsid w:val="00A16881"/>
    <w:rsid w:val="00A21BF6"/>
    <w:rsid w:val="00A22761"/>
    <w:rsid w:val="00A22D21"/>
    <w:rsid w:val="00A23052"/>
    <w:rsid w:val="00A267B8"/>
    <w:rsid w:val="00A27687"/>
    <w:rsid w:val="00A3131B"/>
    <w:rsid w:val="00A35C62"/>
    <w:rsid w:val="00A406BD"/>
    <w:rsid w:val="00A440FF"/>
    <w:rsid w:val="00A44AD8"/>
    <w:rsid w:val="00A45859"/>
    <w:rsid w:val="00A45D71"/>
    <w:rsid w:val="00A47241"/>
    <w:rsid w:val="00A47E43"/>
    <w:rsid w:val="00A501DA"/>
    <w:rsid w:val="00A51B4F"/>
    <w:rsid w:val="00A52433"/>
    <w:rsid w:val="00A524AC"/>
    <w:rsid w:val="00A53E48"/>
    <w:rsid w:val="00A55E10"/>
    <w:rsid w:val="00A55E47"/>
    <w:rsid w:val="00A56323"/>
    <w:rsid w:val="00A56C76"/>
    <w:rsid w:val="00A5765B"/>
    <w:rsid w:val="00A6025C"/>
    <w:rsid w:val="00A608CA"/>
    <w:rsid w:val="00A61624"/>
    <w:rsid w:val="00A62C6B"/>
    <w:rsid w:val="00A64559"/>
    <w:rsid w:val="00A649DE"/>
    <w:rsid w:val="00A64FD3"/>
    <w:rsid w:val="00A65E49"/>
    <w:rsid w:val="00A670EE"/>
    <w:rsid w:val="00A67BA1"/>
    <w:rsid w:val="00A7485C"/>
    <w:rsid w:val="00A75A0A"/>
    <w:rsid w:val="00A763AF"/>
    <w:rsid w:val="00A77E15"/>
    <w:rsid w:val="00A804F0"/>
    <w:rsid w:val="00A82063"/>
    <w:rsid w:val="00A83F1E"/>
    <w:rsid w:val="00A848E3"/>
    <w:rsid w:val="00A84E95"/>
    <w:rsid w:val="00A87877"/>
    <w:rsid w:val="00A92D6B"/>
    <w:rsid w:val="00A95207"/>
    <w:rsid w:val="00A965ED"/>
    <w:rsid w:val="00AA0374"/>
    <w:rsid w:val="00AA0420"/>
    <w:rsid w:val="00AA31FE"/>
    <w:rsid w:val="00AA5EC0"/>
    <w:rsid w:val="00AA61AF"/>
    <w:rsid w:val="00AB09F9"/>
    <w:rsid w:val="00AC21A4"/>
    <w:rsid w:val="00AC2F3D"/>
    <w:rsid w:val="00AC33AA"/>
    <w:rsid w:val="00AC3A90"/>
    <w:rsid w:val="00AC4059"/>
    <w:rsid w:val="00AC415E"/>
    <w:rsid w:val="00AC43C3"/>
    <w:rsid w:val="00AC4B04"/>
    <w:rsid w:val="00AC73B1"/>
    <w:rsid w:val="00AC7BBF"/>
    <w:rsid w:val="00AD0976"/>
    <w:rsid w:val="00AD1D12"/>
    <w:rsid w:val="00AD1D20"/>
    <w:rsid w:val="00AD21CE"/>
    <w:rsid w:val="00AD2E0A"/>
    <w:rsid w:val="00AD3112"/>
    <w:rsid w:val="00AD5646"/>
    <w:rsid w:val="00AD5880"/>
    <w:rsid w:val="00AD63A5"/>
    <w:rsid w:val="00AD6AED"/>
    <w:rsid w:val="00AE5933"/>
    <w:rsid w:val="00AE6165"/>
    <w:rsid w:val="00AE619E"/>
    <w:rsid w:val="00AE7104"/>
    <w:rsid w:val="00AF11CF"/>
    <w:rsid w:val="00AF35C1"/>
    <w:rsid w:val="00AF3E34"/>
    <w:rsid w:val="00AF6EBC"/>
    <w:rsid w:val="00B001CD"/>
    <w:rsid w:val="00B05778"/>
    <w:rsid w:val="00B07C98"/>
    <w:rsid w:val="00B11336"/>
    <w:rsid w:val="00B116FB"/>
    <w:rsid w:val="00B13490"/>
    <w:rsid w:val="00B1378B"/>
    <w:rsid w:val="00B1401D"/>
    <w:rsid w:val="00B162F0"/>
    <w:rsid w:val="00B16F7F"/>
    <w:rsid w:val="00B201EF"/>
    <w:rsid w:val="00B20BCF"/>
    <w:rsid w:val="00B22755"/>
    <w:rsid w:val="00B22EAC"/>
    <w:rsid w:val="00B23D07"/>
    <w:rsid w:val="00B24E0D"/>
    <w:rsid w:val="00B27550"/>
    <w:rsid w:val="00B315A4"/>
    <w:rsid w:val="00B33166"/>
    <w:rsid w:val="00B3393B"/>
    <w:rsid w:val="00B345F1"/>
    <w:rsid w:val="00B412CF"/>
    <w:rsid w:val="00B418C8"/>
    <w:rsid w:val="00B42DAE"/>
    <w:rsid w:val="00B44BB0"/>
    <w:rsid w:val="00B46471"/>
    <w:rsid w:val="00B500AE"/>
    <w:rsid w:val="00B537E9"/>
    <w:rsid w:val="00B56819"/>
    <w:rsid w:val="00B56C2B"/>
    <w:rsid w:val="00B618F4"/>
    <w:rsid w:val="00B61CBA"/>
    <w:rsid w:val="00B61E6F"/>
    <w:rsid w:val="00B6292B"/>
    <w:rsid w:val="00B6354E"/>
    <w:rsid w:val="00B635F9"/>
    <w:rsid w:val="00B64B7F"/>
    <w:rsid w:val="00B651B3"/>
    <w:rsid w:val="00B67006"/>
    <w:rsid w:val="00B701F6"/>
    <w:rsid w:val="00B70649"/>
    <w:rsid w:val="00B722D7"/>
    <w:rsid w:val="00B80CF6"/>
    <w:rsid w:val="00B82878"/>
    <w:rsid w:val="00B83FFB"/>
    <w:rsid w:val="00B85432"/>
    <w:rsid w:val="00B872B0"/>
    <w:rsid w:val="00B90A27"/>
    <w:rsid w:val="00B92927"/>
    <w:rsid w:val="00B93C64"/>
    <w:rsid w:val="00B95ED9"/>
    <w:rsid w:val="00B96314"/>
    <w:rsid w:val="00B96C6A"/>
    <w:rsid w:val="00B974A5"/>
    <w:rsid w:val="00BA2053"/>
    <w:rsid w:val="00BA2BCA"/>
    <w:rsid w:val="00BA3B42"/>
    <w:rsid w:val="00BA4976"/>
    <w:rsid w:val="00BA622C"/>
    <w:rsid w:val="00BA6B13"/>
    <w:rsid w:val="00BA717E"/>
    <w:rsid w:val="00BB163C"/>
    <w:rsid w:val="00BB26D6"/>
    <w:rsid w:val="00BB2D41"/>
    <w:rsid w:val="00BB30F7"/>
    <w:rsid w:val="00BB3EF2"/>
    <w:rsid w:val="00BC1F84"/>
    <w:rsid w:val="00BC36D8"/>
    <w:rsid w:val="00BC393B"/>
    <w:rsid w:val="00BC4BA0"/>
    <w:rsid w:val="00BC4BD1"/>
    <w:rsid w:val="00BC6464"/>
    <w:rsid w:val="00BD114B"/>
    <w:rsid w:val="00BD1FD4"/>
    <w:rsid w:val="00BD340C"/>
    <w:rsid w:val="00BD4EFB"/>
    <w:rsid w:val="00BD505A"/>
    <w:rsid w:val="00BD5F80"/>
    <w:rsid w:val="00BD6B69"/>
    <w:rsid w:val="00BD750E"/>
    <w:rsid w:val="00BE191C"/>
    <w:rsid w:val="00BE23BB"/>
    <w:rsid w:val="00BE39EA"/>
    <w:rsid w:val="00BE4876"/>
    <w:rsid w:val="00BE5971"/>
    <w:rsid w:val="00BE6EA3"/>
    <w:rsid w:val="00BF19D3"/>
    <w:rsid w:val="00BF19D5"/>
    <w:rsid w:val="00BF2F7B"/>
    <w:rsid w:val="00BF4E4A"/>
    <w:rsid w:val="00BF6668"/>
    <w:rsid w:val="00BF71F7"/>
    <w:rsid w:val="00C00526"/>
    <w:rsid w:val="00C007B1"/>
    <w:rsid w:val="00C00EC0"/>
    <w:rsid w:val="00C029A3"/>
    <w:rsid w:val="00C02D09"/>
    <w:rsid w:val="00C02D18"/>
    <w:rsid w:val="00C032F3"/>
    <w:rsid w:val="00C057D4"/>
    <w:rsid w:val="00C06EEE"/>
    <w:rsid w:val="00C11C2F"/>
    <w:rsid w:val="00C15E41"/>
    <w:rsid w:val="00C15E70"/>
    <w:rsid w:val="00C16F88"/>
    <w:rsid w:val="00C17284"/>
    <w:rsid w:val="00C220DE"/>
    <w:rsid w:val="00C2594B"/>
    <w:rsid w:val="00C31434"/>
    <w:rsid w:val="00C31576"/>
    <w:rsid w:val="00C3314B"/>
    <w:rsid w:val="00C3357C"/>
    <w:rsid w:val="00C335A5"/>
    <w:rsid w:val="00C33C6D"/>
    <w:rsid w:val="00C34E9B"/>
    <w:rsid w:val="00C357DB"/>
    <w:rsid w:val="00C35938"/>
    <w:rsid w:val="00C368BE"/>
    <w:rsid w:val="00C4099E"/>
    <w:rsid w:val="00C4413F"/>
    <w:rsid w:val="00C44E11"/>
    <w:rsid w:val="00C45A09"/>
    <w:rsid w:val="00C50936"/>
    <w:rsid w:val="00C512C1"/>
    <w:rsid w:val="00C519F2"/>
    <w:rsid w:val="00C5306F"/>
    <w:rsid w:val="00C534FA"/>
    <w:rsid w:val="00C540BF"/>
    <w:rsid w:val="00C540E0"/>
    <w:rsid w:val="00C669E9"/>
    <w:rsid w:val="00C678C0"/>
    <w:rsid w:val="00C70889"/>
    <w:rsid w:val="00C73B7A"/>
    <w:rsid w:val="00C7408A"/>
    <w:rsid w:val="00C74CB3"/>
    <w:rsid w:val="00C7509C"/>
    <w:rsid w:val="00C8311A"/>
    <w:rsid w:val="00C8436A"/>
    <w:rsid w:val="00C848E6"/>
    <w:rsid w:val="00C84DC2"/>
    <w:rsid w:val="00C90913"/>
    <w:rsid w:val="00C90A2C"/>
    <w:rsid w:val="00C90FF3"/>
    <w:rsid w:val="00C91210"/>
    <w:rsid w:val="00C91A1B"/>
    <w:rsid w:val="00C91BEC"/>
    <w:rsid w:val="00C93706"/>
    <w:rsid w:val="00C9413A"/>
    <w:rsid w:val="00C943F1"/>
    <w:rsid w:val="00C94A5C"/>
    <w:rsid w:val="00C95B26"/>
    <w:rsid w:val="00C961B8"/>
    <w:rsid w:val="00C972B3"/>
    <w:rsid w:val="00CA3A9B"/>
    <w:rsid w:val="00CA6466"/>
    <w:rsid w:val="00CA70B2"/>
    <w:rsid w:val="00CB1A3F"/>
    <w:rsid w:val="00CB4DC0"/>
    <w:rsid w:val="00CB5CB8"/>
    <w:rsid w:val="00CB6282"/>
    <w:rsid w:val="00CB6C23"/>
    <w:rsid w:val="00CB6F33"/>
    <w:rsid w:val="00CB732D"/>
    <w:rsid w:val="00CC5EC9"/>
    <w:rsid w:val="00CC6328"/>
    <w:rsid w:val="00CC7268"/>
    <w:rsid w:val="00CD52B4"/>
    <w:rsid w:val="00CD5585"/>
    <w:rsid w:val="00CD7684"/>
    <w:rsid w:val="00CE082C"/>
    <w:rsid w:val="00CE0E97"/>
    <w:rsid w:val="00CE0F7D"/>
    <w:rsid w:val="00CE13EC"/>
    <w:rsid w:val="00CE1ECC"/>
    <w:rsid w:val="00CE2076"/>
    <w:rsid w:val="00CE2361"/>
    <w:rsid w:val="00CE24CC"/>
    <w:rsid w:val="00CE2D68"/>
    <w:rsid w:val="00CE5C15"/>
    <w:rsid w:val="00CE667A"/>
    <w:rsid w:val="00CE7A00"/>
    <w:rsid w:val="00CF5294"/>
    <w:rsid w:val="00CF5E27"/>
    <w:rsid w:val="00CF74D1"/>
    <w:rsid w:val="00D031FE"/>
    <w:rsid w:val="00D035A4"/>
    <w:rsid w:val="00D06835"/>
    <w:rsid w:val="00D100A4"/>
    <w:rsid w:val="00D110C5"/>
    <w:rsid w:val="00D12718"/>
    <w:rsid w:val="00D1609D"/>
    <w:rsid w:val="00D17343"/>
    <w:rsid w:val="00D175E7"/>
    <w:rsid w:val="00D2052C"/>
    <w:rsid w:val="00D21B33"/>
    <w:rsid w:val="00D227FD"/>
    <w:rsid w:val="00D26921"/>
    <w:rsid w:val="00D269D2"/>
    <w:rsid w:val="00D26EB4"/>
    <w:rsid w:val="00D30F05"/>
    <w:rsid w:val="00D3161A"/>
    <w:rsid w:val="00D32C3D"/>
    <w:rsid w:val="00D33355"/>
    <w:rsid w:val="00D349F8"/>
    <w:rsid w:val="00D34CC3"/>
    <w:rsid w:val="00D43E63"/>
    <w:rsid w:val="00D45053"/>
    <w:rsid w:val="00D46CAD"/>
    <w:rsid w:val="00D51800"/>
    <w:rsid w:val="00D519FB"/>
    <w:rsid w:val="00D53D12"/>
    <w:rsid w:val="00D55753"/>
    <w:rsid w:val="00D60DA0"/>
    <w:rsid w:val="00D63D13"/>
    <w:rsid w:val="00D63DC2"/>
    <w:rsid w:val="00D63E4C"/>
    <w:rsid w:val="00D64504"/>
    <w:rsid w:val="00D646E4"/>
    <w:rsid w:val="00D661CA"/>
    <w:rsid w:val="00D666B6"/>
    <w:rsid w:val="00D66B08"/>
    <w:rsid w:val="00D7181D"/>
    <w:rsid w:val="00D7353E"/>
    <w:rsid w:val="00D73BF0"/>
    <w:rsid w:val="00D743A6"/>
    <w:rsid w:val="00D766F9"/>
    <w:rsid w:val="00D8418D"/>
    <w:rsid w:val="00D85FF5"/>
    <w:rsid w:val="00D87E5D"/>
    <w:rsid w:val="00D90609"/>
    <w:rsid w:val="00D90DCA"/>
    <w:rsid w:val="00D9163A"/>
    <w:rsid w:val="00D91935"/>
    <w:rsid w:val="00D92461"/>
    <w:rsid w:val="00D9361A"/>
    <w:rsid w:val="00D9612D"/>
    <w:rsid w:val="00D97949"/>
    <w:rsid w:val="00DA0982"/>
    <w:rsid w:val="00DA0A6E"/>
    <w:rsid w:val="00DA7033"/>
    <w:rsid w:val="00DA7049"/>
    <w:rsid w:val="00DB13A3"/>
    <w:rsid w:val="00DB1B48"/>
    <w:rsid w:val="00DB38E1"/>
    <w:rsid w:val="00DB4A16"/>
    <w:rsid w:val="00DB5F7B"/>
    <w:rsid w:val="00DB7276"/>
    <w:rsid w:val="00DC0116"/>
    <w:rsid w:val="00DC6CB3"/>
    <w:rsid w:val="00DD074B"/>
    <w:rsid w:val="00DD0C24"/>
    <w:rsid w:val="00DD0E33"/>
    <w:rsid w:val="00DD2B0C"/>
    <w:rsid w:val="00DD3A77"/>
    <w:rsid w:val="00DD4048"/>
    <w:rsid w:val="00DD7071"/>
    <w:rsid w:val="00DE047B"/>
    <w:rsid w:val="00DE5E37"/>
    <w:rsid w:val="00DF07A5"/>
    <w:rsid w:val="00DF5E34"/>
    <w:rsid w:val="00DF72F4"/>
    <w:rsid w:val="00DF7448"/>
    <w:rsid w:val="00DF768C"/>
    <w:rsid w:val="00E00C94"/>
    <w:rsid w:val="00E01915"/>
    <w:rsid w:val="00E03BEA"/>
    <w:rsid w:val="00E05F45"/>
    <w:rsid w:val="00E07109"/>
    <w:rsid w:val="00E10671"/>
    <w:rsid w:val="00E223E0"/>
    <w:rsid w:val="00E22D40"/>
    <w:rsid w:val="00E24AC9"/>
    <w:rsid w:val="00E25656"/>
    <w:rsid w:val="00E303C0"/>
    <w:rsid w:val="00E31B74"/>
    <w:rsid w:val="00E3352F"/>
    <w:rsid w:val="00E34D77"/>
    <w:rsid w:val="00E35F75"/>
    <w:rsid w:val="00E452E9"/>
    <w:rsid w:val="00E45356"/>
    <w:rsid w:val="00E5050A"/>
    <w:rsid w:val="00E50715"/>
    <w:rsid w:val="00E55997"/>
    <w:rsid w:val="00E55FAB"/>
    <w:rsid w:val="00E60A35"/>
    <w:rsid w:val="00E620DA"/>
    <w:rsid w:val="00E625EC"/>
    <w:rsid w:val="00E62FA5"/>
    <w:rsid w:val="00E63B30"/>
    <w:rsid w:val="00E661AA"/>
    <w:rsid w:val="00E676ED"/>
    <w:rsid w:val="00E70C75"/>
    <w:rsid w:val="00E71CDB"/>
    <w:rsid w:val="00E755A0"/>
    <w:rsid w:val="00E775DC"/>
    <w:rsid w:val="00E779A6"/>
    <w:rsid w:val="00E80EC3"/>
    <w:rsid w:val="00E81852"/>
    <w:rsid w:val="00E82894"/>
    <w:rsid w:val="00E8386B"/>
    <w:rsid w:val="00E85E01"/>
    <w:rsid w:val="00E9379B"/>
    <w:rsid w:val="00E971B5"/>
    <w:rsid w:val="00E97FC8"/>
    <w:rsid w:val="00EA0161"/>
    <w:rsid w:val="00EA0BBE"/>
    <w:rsid w:val="00EA12FB"/>
    <w:rsid w:val="00EA1ACB"/>
    <w:rsid w:val="00EA2293"/>
    <w:rsid w:val="00EA5067"/>
    <w:rsid w:val="00EA7B63"/>
    <w:rsid w:val="00EB064F"/>
    <w:rsid w:val="00EB080B"/>
    <w:rsid w:val="00EB088B"/>
    <w:rsid w:val="00EB0DFD"/>
    <w:rsid w:val="00EB330B"/>
    <w:rsid w:val="00EB4696"/>
    <w:rsid w:val="00EB4B67"/>
    <w:rsid w:val="00EB5F70"/>
    <w:rsid w:val="00EB682A"/>
    <w:rsid w:val="00EC1686"/>
    <w:rsid w:val="00EC261B"/>
    <w:rsid w:val="00EC2ADC"/>
    <w:rsid w:val="00EC39EB"/>
    <w:rsid w:val="00EC3F47"/>
    <w:rsid w:val="00EC59D4"/>
    <w:rsid w:val="00ED2BCD"/>
    <w:rsid w:val="00ED51C7"/>
    <w:rsid w:val="00ED523C"/>
    <w:rsid w:val="00ED6E3B"/>
    <w:rsid w:val="00EF13F0"/>
    <w:rsid w:val="00EF1BFE"/>
    <w:rsid w:val="00EF1C08"/>
    <w:rsid w:val="00EF21C3"/>
    <w:rsid w:val="00EF24D5"/>
    <w:rsid w:val="00EF6017"/>
    <w:rsid w:val="00EF754C"/>
    <w:rsid w:val="00F0076D"/>
    <w:rsid w:val="00F10604"/>
    <w:rsid w:val="00F1321E"/>
    <w:rsid w:val="00F14547"/>
    <w:rsid w:val="00F14C02"/>
    <w:rsid w:val="00F16B66"/>
    <w:rsid w:val="00F17049"/>
    <w:rsid w:val="00F2067B"/>
    <w:rsid w:val="00F253AD"/>
    <w:rsid w:val="00F26665"/>
    <w:rsid w:val="00F27DC5"/>
    <w:rsid w:val="00F27FAC"/>
    <w:rsid w:val="00F31139"/>
    <w:rsid w:val="00F32773"/>
    <w:rsid w:val="00F335E3"/>
    <w:rsid w:val="00F35F4A"/>
    <w:rsid w:val="00F4465B"/>
    <w:rsid w:val="00F45B67"/>
    <w:rsid w:val="00F470FE"/>
    <w:rsid w:val="00F50882"/>
    <w:rsid w:val="00F5132A"/>
    <w:rsid w:val="00F56A6D"/>
    <w:rsid w:val="00F57D46"/>
    <w:rsid w:val="00F57EF6"/>
    <w:rsid w:val="00F61FAC"/>
    <w:rsid w:val="00F62D6D"/>
    <w:rsid w:val="00F63881"/>
    <w:rsid w:val="00F6471E"/>
    <w:rsid w:val="00F6639C"/>
    <w:rsid w:val="00F70E2D"/>
    <w:rsid w:val="00F7100A"/>
    <w:rsid w:val="00F72A54"/>
    <w:rsid w:val="00F739F9"/>
    <w:rsid w:val="00F74102"/>
    <w:rsid w:val="00F758B8"/>
    <w:rsid w:val="00F76543"/>
    <w:rsid w:val="00F80A3D"/>
    <w:rsid w:val="00F83C7A"/>
    <w:rsid w:val="00F8409C"/>
    <w:rsid w:val="00F85712"/>
    <w:rsid w:val="00F85945"/>
    <w:rsid w:val="00F87EA0"/>
    <w:rsid w:val="00F971F9"/>
    <w:rsid w:val="00FA0F75"/>
    <w:rsid w:val="00FA1866"/>
    <w:rsid w:val="00FA2D75"/>
    <w:rsid w:val="00FA3EED"/>
    <w:rsid w:val="00FA63BB"/>
    <w:rsid w:val="00FA65BF"/>
    <w:rsid w:val="00FA74A2"/>
    <w:rsid w:val="00FB2740"/>
    <w:rsid w:val="00FB2CB6"/>
    <w:rsid w:val="00FB7AFF"/>
    <w:rsid w:val="00FC2136"/>
    <w:rsid w:val="00FC2216"/>
    <w:rsid w:val="00FC29CE"/>
    <w:rsid w:val="00FC6568"/>
    <w:rsid w:val="00FC7473"/>
    <w:rsid w:val="00FD0BA5"/>
    <w:rsid w:val="00FD1AAC"/>
    <w:rsid w:val="00FD2DBE"/>
    <w:rsid w:val="00FD4185"/>
    <w:rsid w:val="00FD4FF1"/>
    <w:rsid w:val="00FD574A"/>
    <w:rsid w:val="00FD6E59"/>
    <w:rsid w:val="00FE043D"/>
    <w:rsid w:val="00FE0E38"/>
    <w:rsid w:val="00FE21A6"/>
    <w:rsid w:val="00FE320F"/>
    <w:rsid w:val="00FE3860"/>
    <w:rsid w:val="00FE5DB7"/>
    <w:rsid w:val="00FE6D81"/>
    <w:rsid w:val="00FF54B4"/>
    <w:rsid w:val="00FF6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3BF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161"/>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99393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993934"/>
    <w:pPr>
      <w:keepNext/>
      <w:spacing w:before="240" w:after="60"/>
      <w:outlineLvl w:val="1"/>
    </w:pPr>
    <w:rPr>
      <w:rFonts w:ascii="Cambria" w:eastAsia="Times New Roman" w:hAnsi="Cambria"/>
      <w:b/>
      <w:bCs/>
      <w:i/>
      <w:iCs/>
      <w:sz w:val="28"/>
      <w:szCs w:val="28"/>
      <w:lang w:val="en-US" w:eastAsia="en-US"/>
    </w:rPr>
  </w:style>
  <w:style w:type="paragraph" w:styleId="Ttulo3">
    <w:name w:val="heading 3"/>
    <w:basedOn w:val="Normal"/>
    <w:next w:val="Normal"/>
    <w:link w:val="Ttulo3Car"/>
    <w:uiPriority w:val="9"/>
    <w:semiHidden/>
    <w:unhideWhenUsed/>
    <w:qFormat/>
    <w:rsid w:val="00993934"/>
    <w:pPr>
      <w:keepNext/>
      <w:spacing w:before="240" w:after="60"/>
      <w:outlineLvl w:val="2"/>
    </w:pPr>
    <w:rPr>
      <w:rFonts w:ascii="Cambria" w:eastAsia="Times New Roman" w:hAnsi="Cambria"/>
      <w:b/>
      <w:b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5533"/>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533"/>
    <w:rPr>
      <w:rFonts w:ascii="Tahoma" w:hAnsi="Tahoma" w:cs="Tahoma"/>
      <w:sz w:val="16"/>
      <w:szCs w:val="16"/>
    </w:rPr>
  </w:style>
  <w:style w:type="paragraph" w:styleId="Encabezado">
    <w:name w:val="header"/>
    <w:basedOn w:val="Normal"/>
    <w:link w:val="EncabezadoCar"/>
    <w:uiPriority w:val="99"/>
    <w:unhideWhenUsed/>
    <w:rsid w:val="00325533"/>
    <w:pPr>
      <w:tabs>
        <w:tab w:val="center" w:pos="4252"/>
        <w:tab w:val="right" w:pos="8504"/>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325533"/>
  </w:style>
  <w:style w:type="paragraph" w:styleId="Piedepgina">
    <w:name w:val="footer"/>
    <w:basedOn w:val="Normal"/>
    <w:link w:val="PiedepginaCar"/>
    <w:unhideWhenUsed/>
    <w:rsid w:val="00325533"/>
    <w:pPr>
      <w:tabs>
        <w:tab w:val="center" w:pos="4252"/>
        <w:tab w:val="right" w:pos="8504"/>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rsid w:val="00325533"/>
  </w:style>
  <w:style w:type="table" w:styleId="Tablaconcuadrcula">
    <w:name w:val="Table Grid"/>
    <w:basedOn w:val="Tablanormal"/>
    <w:uiPriority w:val="59"/>
    <w:rsid w:val="00597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456F19"/>
    <w:rPr>
      <w:color w:val="0000FF"/>
      <w:u w:val="single"/>
    </w:rPr>
  </w:style>
  <w:style w:type="paragraph" w:styleId="Sinespaciado">
    <w:name w:val="No Spacing"/>
    <w:link w:val="SinespaciadoCar"/>
    <w:uiPriority w:val="1"/>
    <w:qFormat/>
    <w:rsid w:val="00156276"/>
    <w:pPr>
      <w:spacing w:after="0" w:line="240" w:lineRule="auto"/>
    </w:pPr>
  </w:style>
  <w:style w:type="paragraph" w:styleId="Prrafodelista">
    <w:name w:val="List Paragraph"/>
    <w:aliases w:val="titulo 3"/>
    <w:basedOn w:val="Normal"/>
    <w:link w:val="PrrafodelistaCar"/>
    <w:uiPriority w:val="34"/>
    <w:qFormat/>
    <w:rsid w:val="00332A5D"/>
    <w:pPr>
      <w:spacing w:after="200" w:line="276" w:lineRule="auto"/>
      <w:ind w:left="720"/>
      <w:contextualSpacing/>
    </w:pPr>
    <w:rPr>
      <w:rFonts w:ascii="Calibri" w:eastAsia="Calibri" w:hAnsi="Calibri"/>
      <w:sz w:val="22"/>
      <w:szCs w:val="22"/>
      <w:lang w:val="es-CO" w:eastAsia="en-US"/>
    </w:rPr>
  </w:style>
  <w:style w:type="character" w:customStyle="1" w:styleId="apple-converted-space">
    <w:name w:val="apple-converted-space"/>
    <w:rsid w:val="00332A5D"/>
  </w:style>
  <w:style w:type="numbering" w:customStyle="1" w:styleId="Sinlista1">
    <w:name w:val="Sin lista1"/>
    <w:next w:val="Sinlista"/>
    <w:uiPriority w:val="99"/>
    <w:semiHidden/>
    <w:unhideWhenUsed/>
    <w:rsid w:val="008D29D4"/>
  </w:style>
  <w:style w:type="paragraph" w:styleId="NormalWeb">
    <w:name w:val="Normal (Web)"/>
    <w:basedOn w:val="Normal"/>
    <w:link w:val="NormalWebCar"/>
    <w:uiPriority w:val="99"/>
    <w:unhideWhenUsed/>
    <w:rsid w:val="00970A1B"/>
    <w:pPr>
      <w:spacing w:before="100" w:beforeAutospacing="1" w:after="100" w:afterAutospacing="1"/>
    </w:pPr>
    <w:rPr>
      <w:rFonts w:eastAsia="Times New Roman"/>
      <w:lang w:val="es-CO" w:eastAsia="es-CO"/>
    </w:rPr>
  </w:style>
  <w:style w:type="character" w:styleId="Refdecomentario">
    <w:name w:val="annotation reference"/>
    <w:basedOn w:val="Fuentedeprrafopredeter"/>
    <w:uiPriority w:val="99"/>
    <w:semiHidden/>
    <w:unhideWhenUsed/>
    <w:rsid w:val="00897651"/>
    <w:rPr>
      <w:sz w:val="16"/>
      <w:szCs w:val="16"/>
    </w:rPr>
  </w:style>
  <w:style w:type="paragraph" w:styleId="Textocomentario">
    <w:name w:val="annotation text"/>
    <w:basedOn w:val="Normal"/>
    <w:link w:val="TextocomentarioCar"/>
    <w:uiPriority w:val="99"/>
    <w:semiHidden/>
    <w:unhideWhenUsed/>
    <w:rsid w:val="00897651"/>
    <w:pPr>
      <w:spacing w:before="120"/>
      <w:jc w:val="both"/>
    </w:pPr>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897651"/>
    <w:rPr>
      <w:sz w:val="20"/>
      <w:szCs w:val="20"/>
      <w:lang w:val="es-CO"/>
    </w:rPr>
  </w:style>
  <w:style w:type="paragraph" w:customStyle="1" w:styleId="Cuerpo">
    <w:name w:val="Cuerpo"/>
    <w:rsid w:val="0099393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s-ES_tradnl" w:eastAsia="es-CO"/>
    </w:rPr>
  </w:style>
  <w:style w:type="character" w:customStyle="1" w:styleId="Ttulo1Car">
    <w:name w:val="Título 1 Car"/>
    <w:basedOn w:val="Fuentedeprrafopredeter"/>
    <w:link w:val="Ttulo1"/>
    <w:uiPriority w:val="9"/>
    <w:rsid w:val="0099393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3934"/>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993934"/>
    <w:rPr>
      <w:rFonts w:ascii="Cambria" w:eastAsia="Times New Roman" w:hAnsi="Cambria" w:cs="Times New Roman"/>
      <w:b/>
      <w:bCs/>
      <w:sz w:val="26"/>
      <w:szCs w:val="26"/>
      <w:lang w:val="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993934"/>
    <w:rPr>
      <w:rFonts w:ascii="Calibri" w:eastAsia="Calibri" w:hAnsi="Calibri"/>
      <w:sz w:val="20"/>
      <w:szCs w:val="20"/>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993934"/>
    <w:rPr>
      <w:rFonts w:ascii="Calibri" w:eastAsia="Calibri" w:hAnsi="Calibri" w:cs="Times New Roman"/>
      <w:sz w:val="20"/>
      <w:szCs w:val="20"/>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993934"/>
    <w:rPr>
      <w:vertAlign w:val="superscript"/>
    </w:rPr>
  </w:style>
  <w:style w:type="paragraph" w:styleId="Descripcin">
    <w:name w:val="caption"/>
    <w:basedOn w:val="Normal"/>
    <w:next w:val="Normal"/>
    <w:uiPriority w:val="35"/>
    <w:unhideWhenUsed/>
    <w:qFormat/>
    <w:rsid w:val="00993934"/>
    <w:pPr>
      <w:spacing w:after="200"/>
    </w:pPr>
    <w:rPr>
      <w:rFonts w:ascii="Calibri" w:eastAsia="Calibri" w:hAnsi="Calibri"/>
      <w:i/>
      <w:iCs/>
      <w:color w:val="44546A"/>
      <w:sz w:val="18"/>
      <w:szCs w:val="18"/>
      <w:lang w:val="es-CO" w:eastAsia="en-US"/>
    </w:rPr>
  </w:style>
  <w:style w:type="paragraph" w:customStyle="1" w:styleId="Cuadrculamedia21">
    <w:name w:val="Cuadrícula media 21"/>
    <w:uiPriority w:val="1"/>
    <w:qFormat/>
    <w:rsid w:val="00993934"/>
    <w:pPr>
      <w:spacing w:after="0" w:line="240" w:lineRule="auto"/>
    </w:pPr>
    <w:rPr>
      <w:rFonts w:ascii="Calibri" w:eastAsia="Calibri" w:hAnsi="Calibri" w:cs="Times New Roman"/>
    </w:rPr>
  </w:style>
  <w:style w:type="paragraph" w:customStyle="1" w:styleId="xcuerpo">
    <w:name w:val="x_cuerpo"/>
    <w:basedOn w:val="Normal"/>
    <w:rsid w:val="00993934"/>
    <w:pPr>
      <w:spacing w:before="100" w:beforeAutospacing="1" w:after="100" w:afterAutospacing="1"/>
    </w:pPr>
    <w:rPr>
      <w:rFonts w:eastAsia="Times New Roman"/>
      <w:lang w:val="es-CO" w:eastAsia="es-CO"/>
    </w:rPr>
  </w:style>
  <w:style w:type="paragraph" w:customStyle="1" w:styleId="xmsonormal">
    <w:name w:val="x_msonormal"/>
    <w:basedOn w:val="Normal"/>
    <w:rsid w:val="00993934"/>
    <w:pPr>
      <w:spacing w:before="100" w:beforeAutospacing="1" w:after="100" w:afterAutospacing="1"/>
    </w:pPr>
    <w:rPr>
      <w:rFonts w:eastAsia="Times New Roman"/>
      <w:lang w:val="es-CO" w:eastAsia="es-CO"/>
    </w:rPr>
  </w:style>
  <w:style w:type="paragraph" w:customStyle="1" w:styleId="Body1">
    <w:name w:val="Body 1"/>
    <w:rsid w:val="0065533F"/>
    <w:pPr>
      <w:spacing w:after="0" w:line="240" w:lineRule="auto"/>
      <w:outlineLvl w:val="0"/>
    </w:pPr>
    <w:rPr>
      <w:rFonts w:ascii="Times New Roman" w:eastAsia="Arial Unicode MS" w:hAnsi="Times New Roman" w:cs="Times New Roman"/>
      <w:color w:val="000000"/>
      <w:sz w:val="24"/>
      <w:szCs w:val="20"/>
      <w:u w:color="000000"/>
      <w:lang w:eastAsia="es-ES"/>
    </w:rPr>
  </w:style>
  <w:style w:type="character" w:customStyle="1" w:styleId="PrrafodelistaCar">
    <w:name w:val="Párrafo de lista Car"/>
    <w:aliases w:val="titulo 3 Car"/>
    <w:link w:val="Prrafodelista"/>
    <w:uiPriority w:val="34"/>
    <w:locked/>
    <w:rsid w:val="00695637"/>
    <w:rPr>
      <w:rFonts w:ascii="Calibri" w:eastAsia="Calibri" w:hAnsi="Calibri" w:cs="Times New Roman"/>
      <w:lang w:val="es-CO"/>
    </w:rPr>
  </w:style>
  <w:style w:type="character" w:customStyle="1" w:styleId="baj">
    <w:name w:val="b_aj"/>
    <w:basedOn w:val="Fuentedeprrafopredeter"/>
    <w:rsid w:val="00BF6668"/>
  </w:style>
  <w:style w:type="paragraph" w:styleId="Asuntodelcomentario">
    <w:name w:val="annotation subject"/>
    <w:basedOn w:val="Textocomentario"/>
    <w:next w:val="Textocomentario"/>
    <w:link w:val="AsuntodelcomentarioCar"/>
    <w:uiPriority w:val="99"/>
    <w:semiHidden/>
    <w:unhideWhenUsed/>
    <w:rsid w:val="004502FD"/>
    <w:pPr>
      <w:spacing w:before="0" w:after="200"/>
      <w:jc w:val="left"/>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4502FD"/>
    <w:rPr>
      <w:rFonts w:ascii="Calibri" w:eastAsia="Calibri" w:hAnsi="Calibri" w:cs="Times New Roman"/>
      <w:b/>
      <w:bCs/>
      <w:sz w:val="20"/>
      <w:szCs w:val="20"/>
      <w:lang w:val="es-CO"/>
    </w:rPr>
  </w:style>
  <w:style w:type="paragraph" w:customStyle="1" w:styleId="parrafo">
    <w:name w:val="parrafo"/>
    <w:basedOn w:val="Normal"/>
    <w:rsid w:val="00174C24"/>
    <w:pPr>
      <w:spacing w:before="100" w:beforeAutospacing="1" w:after="100" w:afterAutospacing="1"/>
    </w:pPr>
  </w:style>
  <w:style w:type="character" w:styleId="Hipervnculovisitado">
    <w:name w:val="FollowedHyperlink"/>
    <w:basedOn w:val="Fuentedeprrafopredeter"/>
    <w:uiPriority w:val="99"/>
    <w:semiHidden/>
    <w:unhideWhenUsed/>
    <w:rsid w:val="00EF13F0"/>
    <w:rPr>
      <w:color w:val="800080" w:themeColor="followedHyperlink"/>
      <w:u w:val="single"/>
    </w:rPr>
  </w:style>
  <w:style w:type="character" w:styleId="nfasis">
    <w:name w:val="Emphasis"/>
    <w:basedOn w:val="Fuentedeprrafopredeter"/>
    <w:uiPriority w:val="20"/>
    <w:qFormat/>
    <w:rsid w:val="00817F17"/>
    <w:rPr>
      <w:i/>
      <w:iCs/>
    </w:rPr>
  </w:style>
  <w:style w:type="character" w:styleId="Textoennegrita">
    <w:name w:val="Strong"/>
    <w:basedOn w:val="Fuentedeprrafopredeter"/>
    <w:uiPriority w:val="22"/>
    <w:qFormat/>
    <w:rsid w:val="00B56C2B"/>
    <w:rPr>
      <w:b/>
      <w:bCs/>
    </w:rPr>
  </w:style>
  <w:style w:type="character" w:customStyle="1" w:styleId="apple-style-span">
    <w:name w:val="apple-style-span"/>
    <w:basedOn w:val="Fuentedeprrafopredeter"/>
    <w:rsid w:val="00793F85"/>
  </w:style>
  <w:style w:type="paragraph" w:styleId="Textonotaalfinal">
    <w:name w:val="endnote text"/>
    <w:basedOn w:val="Normal"/>
    <w:link w:val="TextonotaalfinalCar"/>
    <w:uiPriority w:val="99"/>
    <w:semiHidden/>
    <w:unhideWhenUsed/>
    <w:rsid w:val="00793F85"/>
    <w:rPr>
      <w:sz w:val="20"/>
      <w:szCs w:val="20"/>
      <w:lang w:val="es-ES"/>
    </w:rPr>
  </w:style>
  <w:style w:type="character" w:customStyle="1" w:styleId="TextonotaalfinalCar">
    <w:name w:val="Texto nota al final Car"/>
    <w:basedOn w:val="Fuentedeprrafopredeter"/>
    <w:link w:val="Textonotaalfinal"/>
    <w:uiPriority w:val="99"/>
    <w:semiHidden/>
    <w:rsid w:val="00793F85"/>
    <w:rPr>
      <w:rFonts w:ascii="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793F85"/>
    <w:rPr>
      <w:vertAlign w:val="superscript"/>
    </w:rPr>
  </w:style>
  <w:style w:type="paragraph" w:customStyle="1" w:styleId="yiv1513105915msolistparagraph">
    <w:name w:val="yiv1513105915msolistparagraph"/>
    <w:basedOn w:val="Normal"/>
    <w:rsid w:val="00793F85"/>
    <w:pPr>
      <w:spacing w:before="100" w:beforeAutospacing="1" w:after="100" w:afterAutospacing="1"/>
    </w:pPr>
    <w:rPr>
      <w:lang w:val="es-ES" w:eastAsia="es-CO"/>
    </w:rPr>
  </w:style>
  <w:style w:type="paragraph" w:customStyle="1" w:styleId="yiv1513105915msonormal">
    <w:name w:val="yiv1513105915msonormal"/>
    <w:basedOn w:val="Normal"/>
    <w:rsid w:val="00793F85"/>
    <w:pPr>
      <w:spacing w:before="100" w:beforeAutospacing="1" w:after="100" w:afterAutospacing="1"/>
    </w:pPr>
    <w:rPr>
      <w:lang w:val="es-ES" w:eastAsia="es-CO"/>
    </w:rPr>
  </w:style>
  <w:style w:type="paragraph" w:customStyle="1" w:styleId="ImportWordListStyleDefinition416560225">
    <w:name w:val="Import Word List Style Definition 416560225"/>
    <w:rsid w:val="00793F85"/>
    <w:pPr>
      <w:numPr>
        <w:numId w:val="11"/>
      </w:numPr>
      <w:spacing w:after="0" w:line="240" w:lineRule="auto"/>
    </w:pPr>
    <w:rPr>
      <w:rFonts w:ascii="Times New Roman" w:eastAsia="Times New Roman" w:hAnsi="Times New Roman" w:cs="Times New Roman"/>
      <w:sz w:val="20"/>
      <w:szCs w:val="20"/>
      <w:lang w:val="es-CO" w:eastAsia="es-CO"/>
    </w:rPr>
  </w:style>
  <w:style w:type="paragraph" w:styleId="Textoindependiente">
    <w:name w:val="Body Text"/>
    <w:basedOn w:val="Normal"/>
    <w:link w:val="TextoindependienteCar"/>
    <w:semiHidden/>
    <w:unhideWhenUsed/>
    <w:rsid w:val="00793F85"/>
    <w:pPr>
      <w:widowControl w:val="0"/>
      <w:suppressAutoHyphens/>
      <w:jc w:val="both"/>
    </w:pPr>
    <w:rPr>
      <w:rFonts w:ascii="Verdana" w:eastAsia="Verdana" w:hAnsi="Verdana"/>
      <w:sz w:val="20"/>
      <w:szCs w:val="20"/>
      <w:lang w:val="es-ES"/>
    </w:rPr>
  </w:style>
  <w:style w:type="character" w:customStyle="1" w:styleId="TextoindependienteCar">
    <w:name w:val="Texto independiente Car"/>
    <w:basedOn w:val="Fuentedeprrafopredeter"/>
    <w:link w:val="Textoindependiente"/>
    <w:semiHidden/>
    <w:rsid w:val="00793F85"/>
    <w:rPr>
      <w:rFonts w:ascii="Verdana" w:eastAsia="Verdana" w:hAnsi="Verdana" w:cs="Times New Roman"/>
      <w:sz w:val="20"/>
      <w:szCs w:val="20"/>
      <w:lang w:eastAsia="es-ES_tradnl"/>
    </w:rPr>
  </w:style>
  <w:style w:type="character" w:customStyle="1" w:styleId="cuerpotexto1">
    <w:name w:val="cuerpo_texto1"/>
    <w:rsid w:val="00793F85"/>
    <w:rPr>
      <w:rFonts w:ascii="Verdana" w:hAnsi="Verdana" w:hint="default"/>
      <w:color w:val="000000"/>
      <w:sz w:val="18"/>
      <w:szCs w:val="18"/>
    </w:rPr>
  </w:style>
  <w:style w:type="paragraph" w:customStyle="1" w:styleId="Default">
    <w:name w:val="Default"/>
    <w:rsid w:val="00793F85"/>
    <w:pPr>
      <w:autoSpaceDE w:val="0"/>
      <w:autoSpaceDN w:val="0"/>
      <w:adjustRightInd w:val="0"/>
      <w:spacing w:after="0" w:line="240" w:lineRule="auto"/>
    </w:pPr>
    <w:rPr>
      <w:rFonts w:ascii="Arial" w:hAnsi="Arial" w:cs="Arial"/>
      <w:color w:val="000000"/>
      <w:sz w:val="24"/>
      <w:szCs w:val="24"/>
      <w:lang w:val="es-CO"/>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793F85"/>
    <w:pPr>
      <w:spacing w:before="200" w:after="160" w:line="240" w:lineRule="exact"/>
    </w:pPr>
    <w:rPr>
      <w:rFonts w:asciiTheme="minorHAnsi" w:hAnsiTheme="minorHAnsi" w:cstheme="minorBidi"/>
      <w:sz w:val="22"/>
      <w:szCs w:val="22"/>
      <w:vertAlign w:val="superscript"/>
      <w:lang w:val="es-ES" w:eastAsia="en-US"/>
    </w:rPr>
  </w:style>
  <w:style w:type="paragraph" w:styleId="Lista">
    <w:name w:val="List"/>
    <w:basedOn w:val="Normal"/>
    <w:uiPriority w:val="99"/>
    <w:semiHidden/>
    <w:unhideWhenUsed/>
    <w:rsid w:val="00793F85"/>
    <w:pPr>
      <w:ind w:left="283" w:hanging="283"/>
      <w:contextualSpacing/>
    </w:pPr>
    <w:rPr>
      <w:rFonts w:ascii="Calibri" w:hAnsi="Calibri"/>
      <w:lang w:val="es-ES"/>
    </w:rPr>
  </w:style>
  <w:style w:type="character" w:customStyle="1" w:styleId="SinespaciadoCar">
    <w:name w:val="Sin espaciado Car"/>
    <w:basedOn w:val="Fuentedeprrafopredeter"/>
    <w:link w:val="Sinespaciado"/>
    <w:uiPriority w:val="1"/>
    <w:rsid w:val="00793F85"/>
  </w:style>
  <w:style w:type="character" w:customStyle="1" w:styleId="NormalWebCar">
    <w:name w:val="Normal (Web) Car"/>
    <w:link w:val="NormalWeb"/>
    <w:uiPriority w:val="99"/>
    <w:rsid w:val="00793F85"/>
    <w:rPr>
      <w:rFonts w:ascii="Times New Roman" w:eastAsia="Times New Roman" w:hAnsi="Times New Roman" w:cs="Times New Roman"/>
      <w:sz w:val="24"/>
      <w:szCs w:val="24"/>
      <w:lang w:val="es-CO" w:eastAsia="es-CO"/>
    </w:rPr>
  </w:style>
  <w:style w:type="character" w:customStyle="1" w:styleId="il">
    <w:name w:val="il"/>
    <w:basedOn w:val="Fuentedeprrafopredeter"/>
    <w:rsid w:val="0079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2593">
      <w:bodyDiv w:val="1"/>
      <w:marLeft w:val="0"/>
      <w:marRight w:val="0"/>
      <w:marTop w:val="0"/>
      <w:marBottom w:val="0"/>
      <w:divBdr>
        <w:top w:val="none" w:sz="0" w:space="0" w:color="auto"/>
        <w:left w:val="none" w:sz="0" w:space="0" w:color="auto"/>
        <w:bottom w:val="none" w:sz="0" w:space="0" w:color="auto"/>
        <w:right w:val="none" w:sz="0" w:space="0" w:color="auto"/>
      </w:divBdr>
    </w:div>
    <w:div w:id="43456219">
      <w:bodyDiv w:val="1"/>
      <w:marLeft w:val="0"/>
      <w:marRight w:val="0"/>
      <w:marTop w:val="0"/>
      <w:marBottom w:val="0"/>
      <w:divBdr>
        <w:top w:val="none" w:sz="0" w:space="0" w:color="auto"/>
        <w:left w:val="none" w:sz="0" w:space="0" w:color="auto"/>
        <w:bottom w:val="none" w:sz="0" w:space="0" w:color="auto"/>
        <w:right w:val="none" w:sz="0" w:space="0" w:color="auto"/>
      </w:divBdr>
    </w:div>
    <w:div w:id="58555725">
      <w:bodyDiv w:val="1"/>
      <w:marLeft w:val="0"/>
      <w:marRight w:val="0"/>
      <w:marTop w:val="0"/>
      <w:marBottom w:val="0"/>
      <w:divBdr>
        <w:top w:val="none" w:sz="0" w:space="0" w:color="auto"/>
        <w:left w:val="none" w:sz="0" w:space="0" w:color="auto"/>
        <w:bottom w:val="none" w:sz="0" w:space="0" w:color="auto"/>
        <w:right w:val="none" w:sz="0" w:space="0" w:color="auto"/>
      </w:divBdr>
    </w:div>
    <w:div w:id="124811533">
      <w:bodyDiv w:val="1"/>
      <w:marLeft w:val="0"/>
      <w:marRight w:val="0"/>
      <w:marTop w:val="0"/>
      <w:marBottom w:val="0"/>
      <w:divBdr>
        <w:top w:val="none" w:sz="0" w:space="0" w:color="auto"/>
        <w:left w:val="none" w:sz="0" w:space="0" w:color="auto"/>
        <w:bottom w:val="none" w:sz="0" w:space="0" w:color="auto"/>
        <w:right w:val="none" w:sz="0" w:space="0" w:color="auto"/>
      </w:divBdr>
    </w:div>
    <w:div w:id="135731890">
      <w:bodyDiv w:val="1"/>
      <w:marLeft w:val="0"/>
      <w:marRight w:val="0"/>
      <w:marTop w:val="0"/>
      <w:marBottom w:val="0"/>
      <w:divBdr>
        <w:top w:val="none" w:sz="0" w:space="0" w:color="auto"/>
        <w:left w:val="none" w:sz="0" w:space="0" w:color="auto"/>
        <w:bottom w:val="none" w:sz="0" w:space="0" w:color="auto"/>
        <w:right w:val="none" w:sz="0" w:space="0" w:color="auto"/>
      </w:divBdr>
    </w:div>
    <w:div w:id="161971442">
      <w:bodyDiv w:val="1"/>
      <w:marLeft w:val="0"/>
      <w:marRight w:val="0"/>
      <w:marTop w:val="0"/>
      <w:marBottom w:val="0"/>
      <w:divBdr>
        <w:top w:val="none" w:sz="0" w:space="0" w:color="auto"/>
        <w:left w:val="none" w:sz="0" w:space="0" w:color="auto"/>
        <w:bottom w:val="none" w:sz="0" w:space="0" w:color="auto"/>
        <w:right w:val="none" w:sz="0" w:space="0" w:color="auto"/>
      </w:divBdr>
    </w:div>
    <w:div w:id="165247487">
      <w:bodyDiv w:val="1"/>
      <w:marLeft w:val="0"/>
      <w:marRight w:val="0"/>
      <w:marTop w:val="0"/>
      <w:marBottom w:val="0"/>
      <w:divBdr>
        <w:top w:val="none" w:sz="0" w:space="0" w:color="auto"/>
        <w:left w:val="none" w:sz="0" w:space="0" w:color="auto"/>
        <w:bottom w:val="none" w:sz="0" w:space="0" w:color="auto"/>
        <w:right w:val="none" w:sz="0" w:space="0" w:color="auto"/>
      </w:divBdr>
    </w:div>
    <w:div w:id="172884172">
      <w:bodyDiv w:val="1"/>
      <w:marLeft w:val="0"/>
      <w:marRight w:val="0"/>
      <w:marTop w:val="0"/>
      <w:marBottom w:val="0"/>
      <w:divBdr>
        <w:top w:val="none" w:sz="0" w:space="0" w:color="auto"/>
        <w:left w:val="none" w:sz="0" w:space="0" w:color="auto"/>
        <w:bottom w:val="none" w:sz="0" w:space="0" w:color="auto"/>
        <w:right w:val="none" w:sz="0" w:space="0" w:color="auto"/>
      </w:divBdr>
    </w:div>
    <w:div w:id="186257284">
      <w:bodyDiv w:val="1"/>
      <w:marLeft w:val="0"/>
      <w:marRight w:val="0"/>
      <w:marTop w:val="0"/>
      <w:marBottom w:val="0"/>
      <w:divBdr>
        <w:top w:val="none" w:sz="0" w:space="0" w:color="auto"/>
        <w:left w:val="none" w:sz="0" w:space="0" w:color="auto"/>
        <w:bottom w:val="none" w:sz="0" w:space="0" w:color="auto"/>
        <w:right w:val="none" w:sz="0" w:space="0" w:color="auto"/>
      </w:divBdr>
    </w:div>
    <w:div w:id="211313985">
      <w:bodyDiv w:val="1"/>
      <w:marLeft w:val="0"/>
      <w:marRight w:val="0"/>
      <w:marTop w:val="0"/>
      <w:marBottom w:val="0"/>
      <w:divBdr>
        <w:top w:val="none" w:sz="0" w:space="0" w:color="auto"/>
        <w:left w:val="none" w:sz="0" w:space="0" w:color="auto"/>
        <w:bottom w:val="none" w:sz="0" w:space="0" w:color="auto"/>
        <w:right w:val="none" w:sz="0" w:space="0" w:color="auto"/>
      </w:divBdr>
    </w:div>
    <w:div w:id="244457242">
      <w:bodyDiv w:val="1"/>
      <w:marLeft w:val="0"/>
      <w:marRight w:val="0"/>
      <w:marTop w:val="0"/>
      <w:marBottom w:val="0"/>
      <w:divBdr>
        <w:top w:val="none" w:sz="0" w:space="0" w:color="auto"/>
        <w:left w:val="none" w:sz="0" w:space="0" w:color="auto"/>
        <w:bottom w:val="none" w:sz="0" w:space="0" w:color="auto"/>
        <w:right w:val="none" w:sz="0" w:space="0" w:color="auto"/>
      </w:divBdr>
    </w:div>
    <w:div w:id="321855194">
      <w:bodyDiv w:val="1"/>
      <w:marLeft w:val="0"/>
      <w:marRight w:val="0"/>
      <w:marTop w:val="0"/>
      <w:marBottom w:val="0"/>
      <w:divBdr>
        <w:top w:val="none" w:sz="0" w:space="0" w:color="auto"/>
        <w:left w:val="none" w:sz="0" w:space="0" w:color="auto"/>
        <w:bottom w:val="none" w:sz="0" w:space="0" w:color="auto"/>
        <w:right w:val="none" w:sz="0" w:space="0" w:color="auto"/>
      </w:divBdr>
    </w:div>
    <w:div w:id="433286119">
      <w:bodyDiv w:val="1"/>
      <w:marLeft w:val="0"/>
      <w:marRight w:val="0"/>
      <w:marTop w:val="0"/>
      <w:marBottom w:val="0"/>
      <w:divBdr>
        <w:top w:val="none" w:sz="0" w:space="0" w:color="auto"/>
        <w:left w:val="none" w:sz="0" w:space="0" w:color="auto"/>
        <w:bottom w:val="none" w:sz="0" w:space="0" w:color="auto"/>
        <w:right w:val="none" w:sz="0" w:space="0" w:color="auto"/>
      </w:divBdr>
    </w:div>
    <w:div w:id="442383570">
      <w:bodyDiv w:val="1"/>
      <w:marLeft w:val="0"/>
      <w:marRight w:val="0"/>
      <w:marTop w:val="0"/>
      <w:marBottom w:val="0"/>
      <w:divBdr>
        <w:top w:val="none" w:sz="0" w:space="0" w:color="auto"/>
        <w:left w:val="none" w:sz="0" w:space="0" w:color="auto"/>
        <w:bottom w:val="none" w:sz="0" w:space="0" w:color="auto"/>
        <w:right w:val="none" w:sz="0" w:space="0" w:color="auto"/>
      </w:divBdr>
    </w:div>
    <w:div w:id="469398646">
      <w:bodyDiv w:val="1"/>
      <w:marLeft w:val="0"/>
      <w:marRight w:val="0"/>
      <w:marTop w:val="0"/>
      <w:marBottom w:val="0"/>
      <w:divBdr>
        <w:top w:val="none" w:sz="0" w:space="0" w:color="auto"/>
        <w:left w:val="none" w:sz="0" w:space="0" w:color="auto"/>
        <w:bottom w:val="none" w:sz="0" w:space="0" w:color="auto"/>
        <w:right w:val="none" w:sz="0" w:space="0" w:color="auto"/>
      </w:divBdr>
    </w:div>
    <w:div w:id="494415982">
      <w:bodyDiv w:val="1"/>
      <w:marLeft w:val="0"/>
      <w:marRight w:val="0"/>
      <w:marTop w:val="0"/>
      <w:marBottom w:val="0"/>
      <w:divBdr>
        <w:top w:val="none" w:sz="0" w:space="0" w:color="auto"/>
        <w:left w:val="none" w:sz="0" w:space="0" w:color="auto"/>
        <w:bottom w:val="none" w:sz="0" w:space="0" w:color="auto"/>
        <w:right w:val="none" w:sz="0" w:space="0" w:color="auto"/>
      </w:divBdr>
    </w:div>
    <w:div w:id="525141989">
      <w:bodyDiv w:val="1"/>
      <w:marLeft w:val="0"/>
      <w:marRight w:val="0"/>
      <w:marTop w:val="0"/>
      <w:marBottom w:val="0"/>
      <w:divBdr>
        <w:top w:val="none" w:sz="0" w:space="0" w:color="auto"/>
        <w:left w:val="none" w:sz="0" w:space="0" w:color="auto"/>
        <w:bottom w:val="none" w:sz="0" w:space="0" w:color="auto"/>
        <w:right w:val="none" w:sz="0" w:space="0" w:color="auto"/>
      </w:divBdr>
    </w:div>
    <w:div w:id="543563588">
      <w:bodyDiv w:val="1"/>
      <w:marLeft w:val="0"/>
      <w:marRight w:val="0"/>
      <w:marTop w:val="0"/>
      <w:marBottom w:val="0"/>
      <w:divBdr>
        <w:top w:val="none" w:sz="0" w:space="0" w:color="auto"/>
        <w:left w:val="none" w:sz="0" w:space="0" w:color="auto"/>
        <w:bottom w:val="none" w:sz="0" w:space="0" w:color="auto"/>
        <w:right w:val="none" w:sz="0" w:space="0" w:color="auto"/>
      </w:divBdr>
    </w:div>
    <w:div w:id="547298746">
      <w:bodyDiv w:val="1"/>
      <w:marLeft w:val="0"/>
      <w:marRight w:val="0"/>
      <w:marTop w:val="0"/>
      <w:marBottom w:val="0"/>
      <w:divBdr>
        <w:top w:val="none" w:sz="0" w:space="0" w:color="auto"/>
        <w:left w:val="none" w:sz="0" w:space="0" w:color="auto"/>
        <w:bottom w:val="none" w:sz="0" w:space="0" w:color="auto"/>
        <w:right w:val="none" w:sz="0" w:space="0" w:color="auto"/>
      </w:divBdr>
    </w:div>
    <w:div w:id="639530854">
      <w:bodyDiv w:val="1"/>
      <w:marLeft w:val="0"/>
      <w:marRight w:val="0"/>
      <w:marTop w:val="0"/>
      <w:marBottom w:val="0"/>
      <w:divBdr>
        <w:top w:val="none" w:sz="0" w:space="0" w:color="auto"/>
        <w:left w:val="none" w:sz="0" w:space="0" w:color="auto"/>
        <w:bottom w:val="none" w:sz="0" w:space="0" w:color="auto"/>
        <w:right w:val="none" w:sz="0" w:space="0" w:color="auto"/>
      </w:divBdr>
    </w:div>
    <w:div w:id="653337395">
      <w:bodyDiv w:val="1"/>
      <w:marLeft w:val="0"/>
      <w:marRight w:val="0"/>
      <w:marTop w:val="0"/>
      <w:marBottom w:val="0"/>
      <w:divBdr>
        <w:top w:val="none" w:sz="0" w:space="0" w:color="auto"/>
        <w:left w:val="none" w:sz="0" w:space="0" w:color="auto"/>
        <w:bottom w:val="none" w:sz="0" w:space="0" w:color="auto"/>
        <w:right w:val="none" w:sz="0" w:space="0" w:color="auto"/>
      </w:divBdr>
    </w:div>
    <w:div w:id="654189276">
      <w:bodyDiv w:val="1"/>
      <w:marLeft w:val="0"/>
      <w:marRight w:val="0"/>
      <w:marTop w:val="0"/>
      <w:marBottom w:val="0"/>
      <w:divBdr>
        <w:top w:val="none" w:sz="0" w:space="0" w:color="auto"/>
        <w:left w:val="none" w:sz="0" w:space="0" w:color="auto"/>
        <w:bottom w:val="none" w:sz="0" w:space="0" w:color="auto"/>
        <w:right w:val="none" w:sz="0" w:space="0" w:color="auto"/>
      </w:divBdr>
      <w:divsChild>
        <w:div w:id="1899122117">
          <w:marLeft w:val="0"/>
          <w:marRight w:val="0"/>
          <w:marTop w:val="225"/>
          <w:marBottom w:val="225"/>
          <w:divBdr>
            <w:top w:val="none" w:sz="0" w:space="0" w:color="auto"/>
            <w:left w:val="none" w:sz="0" w:space="0" w:color="auto"/>
            <w:bottom w:val="none" w:sz="0" w:space="0" w:color="auto"/>
            <w:right w:val="none" w:sz="0" w:space="0" w:color="auto"/>
          </w:divBdr>
          <w:divsChild>
            <w:div w:id="1063798251">
              <w:marLeft w:val="0"/>
              <w:marRight w:val="0"/>
              <w:marTop w:val="0"/>
              <w:marBottom w:val="0"/>
              <w:divBdr>
                <w:top w:val="none" w:sz="0" w:space="0" w:color="auto"/>
                <w:left w:val="none" w:sz="0" w:space="0" w:color="auto"/>
                <w:bottom w:val="none" w:sz="0" w:space="0" w:color="auto"/>
                <w:right w:val="none" w:sz="0" w:space="0" w:color="auto"/>
              </w:divBdr>
              <w:divsChild>
                <w:div w:id="1434518743">
                  <w:marLeft w:val="0"/>
                  <w:marRight w:val="0"/>
                  <w:marTop w:val="0"/>
                  <w:marBottom w:val="0"/>
                  <w:divBdr>
                    <w:top w:val="none" w:sz="0" w:space="0" w:color="auto"/>
                    <w:left w:val="none" w:sz="0" w:space="0" w:color="auto"/>
                    <w:bottom w:val="none" w:sz="0" w:space="0" w:color="auto"/>
                    <w:right w:val="none" w:sz="0" w:space="0" w:color="auto"/>
                  </w:divBdr>
                  <w:divsChild>
                    <w:div w:id="11708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4263">
      <w:bodyDiv w:val="1"/>
      <w:marLeft w:val="0"/>
      <w:marRight w:val="0"/>
      <w:marTop w:val="0"/>
      <w:marBottom w:val="0"/>
      <w:divBdr>
        <w:top w:val="none" w:sz="0" w:space="0" w:color="auto"/>
        <w:left w:val="none" w:sz="0" w:space="0" w:color="auto"/>
        <w:bottom w:val="none" w:sz="0" w:space="0" w:color="auto"/>
        <w:right w:val="none" w:sz="0" w:space="0" w:color="auto"/>
      </w:divBdr>
    </w:div>
    <w:div w:id="669794329">
      <w:bodyDiv w:val="1"/>
      <w:marLeft w:val="0"/>
      <w:marRight w:val="0"/>
      <w:marTop w:val="0"/>
      <w:marBottom w:val="0"/>
      <w:divBdr>
        <w:top w:val="none" w:sz="0" w:space="0" w:color="auto"/>
        <w:left w:val="none" w:sz="0" w:space="0" w:color="auto"/>
        <w:bottom w:val="none" w:sz="0" w:space="0" w:color="auto"/>
        <w:right w:val="none" w:sz="0" w:space="0" w:color="auto"/>
      </w:divBdr>
    </w:div>
    <w:div w:id="679627962">
      <w:bodyDiv w:val="1"/>
      <w:marLeft w:val="0"/>
      <w:marRight w:val="0"/>
      <w:marTop w:val="0"/>
      <w:marBottom w:val="0"/>
      <w:divBdr>
        <w:top w:val="none" w:sz="0" w:space="0" w:color="auto"/>
        <w:left w:val="none" w:sz="0" w:space="0" w:color="auto"/>
        <w:bottom w:val="none" w:sz="0" w:space="0" w:color="auto"/>
        <w:right w:val="none" w:sz="0" w:space="0" w:color="auto"/>
      </w:divBdr>
    </w:div>
    <w:div w:id="757094075">
      <w:bodyDiv w:val="1"/>
      <w:marLeft w:val="0"/>
      <w:marRight w:val="0"/>
      <w:marTop w:val="0"/>
      <w:marBottom w:val="0"/>
      <w:divBdr>
        <w:top w:val="none" w:sz="0" w:space="0" w:color="auto"/>
        <w:left w:val="none" w:sz="0" w:space="0" w:color="auto"/>
        <w:bottom w:val="none" w:sz="0" w:space="0" w:color="auto"/>
        <w:right w:val="none" w:sz="0" w:space="0" w:color="auto"/>
      </w:divBdr>
      <w:divsChild>
        <w:div w:id="498666004">
          <w:marLeft w:val="0"/>
          <w:marRight w:val="0"/>
          <w:marTop w:val="225"/>
          <w:marBottom w:val="225"/>
          <w:divBdr>
            <w:top w:val="none" w:sz="0" w:space="0" w:color="auto"/>
            <w:left w:val="none" w:sz="0" w:space="0" w:color="auto"/>
            <w:bottom w:val="none" w:sz="0" w:space="0" w:color="auto"/>
            <w:right w:val="none" w:sz="0" w:space="0" w:color="auto"/>
          </w:divBdr>
          <w:divsChild>
            <w:div w:id="1446193152">
              <w:marLeft w:val="0"/>
              <w:marRight w:val="0"/>
              <w:marTop w:val="0"/>
              <w:marBottom w:val="0"/>
              <w:divBdr>
                <w:top w:val="none" w:sz="0" w:space="0" w:color="auto"/>
                <w:left w:val="none" w:sz="0" w:space="0" w:color="auto"/>
                <w:bottom w:val="none" w:sz="0" w:space="0" w:color="auto"/>
                <w:right w:val="none" w:sz="0" w:space="0" w:color="auto"/>
              </w:divBdr>
              <w:divsChild>
                <w:div w:id="2107840993">
                  <w:marLeft w:val="0"/>
                  <w:marRight w:val="0"/>
                  <w:marTop w:val="0"/>
                  <w:marBottom w:val="0"/>
                  <w:divBdr>
                    <w:top w:val="none" w:sz="0" w:space="0" w:color="auto"/>
                    <w:left w:val="none" w:sz="0" w:space="0" w:color="auto"/>
                    <w:bottom w:val="none" w:sz="0" w:space="0" w:color="auto"/>
                    <w:right w:val="none" w:sz="0" w:space="0" w:color="auto"/>
                  </w:divBdr>
                  <w:divsChild>
                    <w:div w:id="18491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19709">
      <w:bodyDiv w:val="1"/>
      <w:marLeft w:val="0"/>
      <w:marRight w:val="0"/>
      <w:marTop w:val="0"/>
      <w:marBottom w:val="0"/>
      <w:divBdr>
        <w:top w:val="none" w:sz="0" w:space="0" w:color="auto"/>
        <w:left w:val="none" w:sz="0" w:space="0" w:color="auto"/>
        <w:bottom w:val="none" w:sz="0" w:space="0" w:color="auto"/>
        <w:right w:val="none" w:sz="0" w:space="0" w:color="auto"/>
      </w:divBdr>
    </w:div>
    <w:div w:id="818812231">
      <w:bodyDiv w:val="1"/>
      <w:marLeft w:val="0"/>
      <w:marRight w:val="0"/>
      <w:marTop w:val="0"/>
      <w:marBottom w:val="0"/>
      <w:divBdr>
        <w:top w:val="none" w:sz="0" w:space="0" w:color="auto"/>
        <w:left w:val="none" w:sz="0" w:space="0" w:color="auto"/>
        <w:bottom w:val="none" w:sz="0" w:space="0" w:color="auto"/>
        <w:right w:val="none" w:sz="0" w:space="0" w:color="auto"/>
      </w:divBdr>
    </w:div>
    <w:div w:id="900408496">
      <w:bodyDiv w:val="1"/>
      <w:marLeft w:val="0"/>
      <w:marRight w:val="0"/>
      <w:marTop w:val="0"/>
      <w:marBottom w:val="0"/>
      <w:divBdr>
        <w:top w:val="none" w:sz="0" w:space="0" w:color="auto"/>
        <w:left w:val="none" w:sz="0" w:space="0" w:color="auto"/>
        <w:bottom w:val="none" w:sz="0" w:space="0" w:color="auto"/>
        <w:right w:val="none" w:sz="0" w:space="0" w:color="auto"/>
      </w:divBdr>
    </w:div>
    <w:div w:id="944537371">
      <w:bodyDiv w:val="1"/>
      <w:marLeft w:val="0"/>
      <w:marRight w:val="0"/>
      <w:marTop w:val="0"/>
      <w:marBottom w:val="0"/>
      <w:divBdr>
        <w:top w:val="none" w:sz="0" w:space="0" w:color="auto"/>
        <w:left w:val="none" w:sz="0" w:space="0" w:color="auto"/>
        <w:bottom w:val="none" w:sz="0" w:space="0" w:color="auto"/>
        <w:right w:val="none" w:sz="0" w:space="0" w:color="auto"/>
      </w:divBdr>
    </w:div>
    <w:div w:id="1112435617">
      <w:bodyDiv w:val="1"/>
      <w:marLeft w:val="0"/>
      <w:marRight w:val="0"/>
      <w:marTop w:val="0"/>
      <w:marBottom w:val="0"/>
      <w:divBdr>
        <w:top w:val="none" w:sz="0" w:space="0" w:color="auto"/>
        <w:left w:val="none" w:sz="0" w:space="0" w:color="auto"/>
        <w:bottom w:val="none" w:sz="0" w:space="0" w:color="auto"/>
        <w:right w:val="none" w:sz="0" w:space="0" w:color="auto"/>
      </w:divBdr>
    </w:div>
    <w:div w:id="1115365847">
      <w:bodyDiv w:val="1"/>
      <w:marLeft w:val="0"/>
      <w:marRight w:val="0"/>
      <w:marTop w:val="0"/>
      <w:marBottom w:val="0"/>
      <w:divBdr>
        <w:top w:val="none" w:sz="0" w:space="0" w:color="auto"/>
        <w:left w:val="none" w:sz="0" w:space="0" w:color="auto"/>
        <w:bottom w:val="none" w:sz="0" w:space="0" w:color="auto"/>
        <w:right w:val="none" w:sz="0" w:space="0" w:color="auto"/>
      </w:divBdr>
      <w:divsChild>
        <w:div w:id="1910654078">
          <w:marLeft w:val="0"/>
          <w:marRight w:val="0"/>
          <w:marTop w:val="225"/>
          <w:marBottom w:val="225"/>
          <w:divBdr>
            <w:top w:val="none" w:sz="0" w:space="0" w:color="auto"/>
            <w:left w:val="none" w:sz="0" w:space="0" w:color="auto"/>
            <w:bottom w:val="none" w:sz="0" w:space="0" w:color="auto"/>
            <w:right w:val="none" w:sz="0" w:space="0" w:color="auto"/>
          </w:divBdr>
          <w:divsChild>
            <w:div w:id="1776174758">
              <w:marLeft w:val="0"/>
              <w:marRight w:val="0"/>
              <w:marTop w:val="0"/>
              <w:marBottom w:val="0"/>
              <w:divBdr>
                <w:top w:val="none" w:sz="0" w:space="0" w:color="auto"/>
                <w:left w:val="none" w:sz="0" w:space="0" w:color="auto"/>
                <w:bottom w:val="none" w:sz="0" w:space="0" w:color="auto"/>
                <w:right w:val="none" w:sz="0" w:space="0" w:color="auto"/>
              </w:divBdr>
              <w:divsChild>
                <w:div w:id="296883498">
                  <w:marLeft w:val="0"/>
                  <w:marRight w:val="0"/>
                  <w:marTop w:val="0"/>
                  <w:marBottom w:val="0"/>
                  <w:divBdr>
                    <w:top w:val="none" w:sz="0" w:space="0" w:color="auto"/>
                    <w:left w:val="none" w:sz="0" w:space="0" w:color="auto"/>
                    <w:bottom w:val="none" w:sz="0" w:space="0" w:color="auto"/>
                    <w:right w:val="none" w:sz="0" w:space="0" w:color="auto"/>
                  </w:divBdr>
                  <w:divsChild>
                    <w:div w:id="2096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8066">
      <w:bodyDiv w:val="1"/>
      <w:marLeft w:val="0"/>
      <w:marRight w:val="0"/>
      <w:marTop w:val="0"/>
      <w:marBottom w:val="0"/>
      <w:divBdr>
        <w:top w:val="none" w:sz="0" w:space="0" w:color="auto"/>
        <w:left w:val="none" w:sz="0" w:space="0" w:color="auto"/>
        <w:bottom w:val="none" w:sz="0" w:space="0" w:color="auto"/>
        <w:right w:val="none" w:sz="0" w:space="0" w:color="auto"/>
      </w:divBdr>
    </w:div>
    <w:div w:id="1225681077">
      <w:bodyDiv w:val="1"/>
      <w:marLeft w:val="0"/>
      <w:marRight w:val="0"/>
      <w:marTop w:val="0"/>
      <w:marBottom w:val="0"/>
      <w:divBdr>
        <w:top w:val="none" w:sz="0" w:space="0" w:color="auto"/>
        <w:left w:val="none" w:sz="0" w:space="0" w:color="auto"/>
        <w:bottom w:val="none" w:sz="0" w:space="0" w:color="auto"/>
        <w:right w:val="none" w:sz="0" w:space="0" w:color="auto"/>
      </w:divBdr>
    </w:div>
    <w:div w:id="1240670642">
      <w:bodyDiv w:val="1"/>
      <w:marLeft w:val="0"/>
      <w:marRight w:val="0"/>
      <w:marTop w:val="0"/>
      <w:marBottom w:val="0"/>
      <w:divBdr>
        <w:top w:val="none" w:sz="0" w:space="0" w:color="auto"/>
        <w:left w:val="none" w:sz="0" w:space="0" w:color="auto"/>
        <w:bottom w:val="none" w:sz="0" w:space="0" w:color="auto"/>
        <w:right w:val="none" w:sz="0" w:space="0" w:color="auto"/>
      </w:divBdr>
    </w:div>
    <w:div w:id="1260066566">
      <w:bodyDiv w:val="1"/>
      <w:marLeft w:val="0"/>
      <w:marRight w:val="0"/>
      <w:marTop w:val="0"/>
      <w:marBottom w:val="0"/>
      <w:divBdr>
        <w:top w:val="none" w:sz="0" w:space="0" w:color="auto"/>
        <w:left w:val="none" w:sz="0" w:space="0" w:color="auto"/>
        <w:bottom w:val="none" w:sz="0" w:space="0" w:color="auto"/>
        <w:right w:val="none" w:sz="0" w:space="0" w:color="auto"/>
      </w:divBdr>
    </w:div>
    <w:div w:id="1261529531">
      <w:bodyDiv w:val="1"/>
      <w:marLeft w:val="0"/>
      <w:marRight w:val="0"/>
      <w:marTop w:val="0"/>
      <w:marBottom w:val="0"/>
      <w:divBdr>
        <w:top w:val="none" w:sz="0" w:space="0" w:color="auto"/>
        <w:left w:val="none" w:sz="0" w:space="0" w:color="auto"/>
        <w:bottom w:val="none" w:sz="0" w:space="0" w:color="auto"/>
        <w:right w:val="none" w:sz="0" w:space="0" w:color="auto"/>
      </w:divBdr>
    </w:div>
    <w:div w:id="1270551665">
      <w:bodyDiv w:val="1"/>
      <w:marLeft w:val="0"/>
      <w:marRight w:val="0"/>
      <w:marTop w:val="0"/>
      <w:marBottom w:val="0"/>
      <w:divBdr>
        <w:top w:val="none" w:sz="0" w:space="0" w:color="auto"/>
        <w:left w:val="none" w:sz="0" w:space="0" w:color="auto"/>
        <w:bottom w:val="none" w:sz="0" w:space="0" w:color="auto"/>
        <w:right w:val="none" w:sz="0" w:space="0" w:color="auto"/>
      </w:divBdr>
    </w:div>
    <w:div w:id="1284192805">
      <w:bodyDiv w:val="1"/>
      <w:marLeft w:val="0"/>
      <w:marRight w:val="0"/>
      <w:marTop w:val="0"/>
      <w:marBottom w:val="0"/>
      <w:divBdr>
        <w:top w:val="none" w:sz="0" w:space="0" w:color="auto"/>
        <w:left w:val="none" w:sz="0" w:space="0" w:color="auto"/>
        <w:bottom w:val="none" w:sz="0" w:space="0" w:color="auto"/>
        <w:right w:val="none" w:sz="0" w:space="0" w:color="auto"/>
      </w:divBdr>
    </w:div>
    <w:div w:id="1301809098">
      <w:bodyDiv w:val="1"/>
      <w:marLeft w:val="0"/>
      <w:marRight w:val="0"/>
      <w:marTop w:val="0"/>
      <w:marBottom w:val="0"/>
      <w:divBdr>
        <w:top w:val="none" w:sz="0" w:space="0" w:color="auto"/>
        <w:left w:val="none" w:sz="0" w:space="0" w:color="auto"/>
        <w:bottom w:val="none" w:sz="0" w:space="0" w:color="auto"/>
        <w:right w:val="none" w:sz="0" w:space="0" w:color="auto"/>
      </w:divBdr>
    </w:div>
    <w:div w:id="1329408655">
      <w:bodyDiv w:val="1"/>
      <w:marLeft w:val="0"/>
      <w:marRight w:val="0"/>
      <w:marTop w:val="0"/>
      <w:marBottom w:val="0"/>
      <w:divBdr>
        <w:top w:val="none" w:sz="0" w:space="0" w:color="auto"/>
        <w:left w:val="none" w:sz="0" w:space="0" w:color="auto"/>
        <w:bottom w:val="none" w:sz="0" w:space="0" w:color="auto"/>
        <w:right w:val="none" w:sz="0" w:space="0" w:color="auto"/>
      </w:divBdr>
    </w:div>
    <w:div w:id="1353729355">
      <w:bodyDiv w:val="1"/>
      <w:marLeft w:val="0"/>
      <w:marRight w:val="0"/>
      <w:marTop w:val="0"/>
      <w:marBottom w:val="0"/>
      <w:divBdr>
        <w:top w:val="none" w:sz="0" w:space="0" w:color="auto"/>
        <w:left w:val="none" w:sz="0" w:space="0" w:color="auto"/>
        <w:bottom w:val="none" w:sz="0" w:space="0" w:color="auto"/>
        <w:right w:val="none" w:sz="0" w:space="0" w:color="auto"/>
      </w:divBdr>
    </w:div>
    <w:div w:id="1418864370">
      <w:bodyDiv w:val="1"/>
      <w:marLeft w:val="0"/>
      <w:marRight w:val="0"/>
      <w:marTop w:val="0"/>
      <w:marBottom w:val="0"/>
      <w:divBdr>
        <w:top w:val="none" w:sz="0" w:space="0" w:color="auto"/>
        <w:left w:val="none" w:sz="0" w:space="0" w:color="auto"/>
        <w:bottom w:val="none" w:sz="0" w:space="0" w:color="auto"/>
        <w:right w:val="none" w:sz="0" w:space="0" w:color="auto"/>
      </w:divBdr>
      <w:divsChild>
        <w:div w:id="1206408193">
          <w:marLeft w:val="720"/>
          <w:marRight w:val="0"/>
          <w:marTop w:val="0"/>
          <w:marBottom w:val="0"/>
          <w:divBdr>
            <w:top w:val="none" w:sz="0" w:space="0" w:color="auto"/>
            <w:left w:val="none" w:sz="0" w:space="0" w:color="auto"/>
            <w:bottom w:val="none" w:sz="0" w:space="0" w:color="auto"/>
            <w:right w:val="none" w:sz="0" w:space="0" w:color="auto"/>
          </w:divBdr>
        </w:div>
      </w:divsChild>
    </w:div>
    <w:div w:id="1422680312">
      <w:bodyDiv w:val="1"/>
      <w:marLeft w:val="0"/>
      <w:marRight w:val="0"/>
      <w:marTop w:val="0"/>
      <w:marBottom w:val="0"/>
      <w:divBdr>
        <w:top w:val="none" w:sz="0" w:space="0" w:color="auto"/>
        <w:left w:val="none" w:sz="0" w:space="0" w:color="auto"/>
        <w:bottom w:val="none" w:sz="0" w:space="0" w:color="auto"/>
        <w:right w:val="none" w:sz="0" w:space="0" w:color="auto"/>
      </w:divBdr>
    </w:div>
    <w:div w:id="1457523176">
      <w:bodyDiv w:val="1"/>
      <w:marLeft w:val="0"/>
      <w:marRight w:val="0"/>
      <w:marTop w:val="0"/>
      <w:marBottom w:val="0"/>
      <w:divBdr>
        <w:top w:val="none" w:sz="0" w:space="0" w:color="auto"/>
        <w:left w:val="none" w:sz="0" w:space="0" w:color="auto"/>
        <w:bottom w:val="none" w:sz="0" w:space="0" w:color="auto"/>
        <w:right w:val="none" w:sz="0" w:space="0" w:color="auto"/>
      </w:divBdr>
    </w:div>
    <w:div w:id="1489861692">
      <w:bodyDiv w:val="1"/>
      <w:marLeft w:val="0"/>
      <w:marRight w:val="0"/>
      <w:marTop w:val="0"/>
      <w:marBottom w:val="0"/>
      <w:divBdr>
        <w:top w:val="none" w:sz="0" w:space="0" w:color="auto"/>
        <w:left w:val="none" w:sz="0" w:space="0" w:color="auto"/>
        <w:bottom w:val="none" w:sz="0" w:space="0" w:color="auto"/>
        <w:right w:val="none" w:sz="0" w:space="0" w:color="auto"/>
      </w:divBdr>
    </w:div>
    <w:div w:id="1510942660">
      <w:bodyDiv w:val="1"/>
      <w:marLeft w:val="0"/>
      <w:marRight w:val="0"/>
      <w:marTop w:val="0"/>
      <w:marBottom w:val="0"/>
      <w:divBdr>
        <w:top w:val="none" w:sz="0" w:space="0" w:color="auto"/>
        <w:left w:val="none" w:sz="0" w:space="0" w:color="auto"/>
        <w:bottom w:val="none" w:sz="0" w:space="0" w:color="auto"/>
        <w:right w:val="none" w:sz="0" w:space="0" w:color="auto"/>
      </w:divBdr>
    </w:div>
    <w:div w:id="1515916171">
      <w:bodyDiv w:val="1"/>
      <w:marLeft w:val="0"/>
      <w:marRight w:val="0"/>
      <w:marTop w:val="0"/>
      <w:marBottom w:val="0"/>
      <w:divBdr>
        <w:top w:val="none" w:sz="0" w:space="0" w:color="auto"/>
        <w:left w:val="none" w:sz="0" w:space="0" w:color="auto"/>
        <w:bottom w:val="none" w:sz="0" w:space="0" w:color="auto"/>
        <w:right w:val="none" w:sz="0" w:space="0" w:color="auto"/>
      </w:divBdr>
    </w:div>
    <w:div w:id="1519149980">
      <w:bodyDiv w:val="1"/>
      <w:marLeft w:val="0"/>
      <w:marRight w:val="0"/>
      <w:marTop w:val="0"/>
      <w:marBottom w:val="0"/>
      <w:divBdr>
        <w:top w:val="none" w:sz="0" w:space="0" w:color="auto"/>
        <w:left w:val="none" w:sz="0" w:space="0" w:color="auto"/>
        <w:bottom w:val="none" w:sz="0" w:space="0" w:color="auto"/>
        <w:right w:val="none" w:sz="0" w:space="0" w:color="auto"/>
      </w:divBdr>
    </w:div>
    <w:div w:id="1538615858">
      <w:bodyDiv w:val="1"/>
      <w:marLeft w:val="0"/>
      <w:marRight w:val="0"/>
      <w:marTop w:val="0"/>
      <w:marBottom w:val="0"/>
      <w:divBdr>
        <w:top w:val="none" w:sz="0" w:space="0" w:color="auto"/>
        <w:left w:val="none" w:sz="0" w:space="0" w:color="auto"/>
        <w:bottom w:val="none" w:sz="0" w:space="0" w:color="auto"/>
        <w:right w:val="none" w:sz="0" w:space="0" w:color="auto"/>
      </w:divBdr>
    </w:div>
    <w:div w:id="1634021734">
      <w:bodyDiv w:val="1"/>
      <w:marLeft w:val="0"/>
      <w:marRight w:val="0"/>
      <w:marTop w:val="0"/>
      <w:marBottom w:val="0"/>
      <w:divBdr>
        <w:top w:val="none" w:sz="0" w:space="0" w:color="auto"/>
        <w:left w:val="none" w:sz="0" w:space="0" w:color="auto"/>
        <w:bottom w:val="none" w:sz="0" w:space="0" w:color="auto"/>
        <w:right w:val="none" w:sz="0" w:space="0" w:color="auto"/>
      </w:divBdr>
    </w:div>
    <w:div w:id="1651401369">
      <w:bodyDiv w:val="1"/>
      <w:marLeft w:val="0"/>
      <w:marRight w:val="0"/>
      <w:marTop w:val="0"/>
      <w:marBottom w:val="0"/>
      <w:divBdr>
        <w:top w:val="none" w:sz="0" w:space="0" w:color="auto"/>
        <w:left w:val="none" w:sz="0" w:space="0" w:color="auto"/>
        <w:bottom w:val="none" w:sz="0" w:space="0" w:color="auto"/>
        <w:right w:val="none" w:sz="0" w:space="0" w:color="auto"/>
      </w:divBdr>
    </w:div>
    <w:div w:id="1653215030">
      <w:bodyDiv w:val="1"/>
      <w:marLeft w:val="0"/>
      <w:marRight w:val="0"/>
      <w:marTop w:val="0"/>
      <w:marBottom w:val="0"/>
      <w:divBdr>
        <w:top w:val="none" w:sz="0" w:space="0" w:color="auto"/>
        <w:left w:val="none" w:sz="0" w:space="0" w:color="auto"/>
        <w:bottom w:val="none" w:sz="0" w:space="0" w:color="auto"/>
        <w:right w:val="none" w:sz="0" w:space="0" w:color="auto"/>
      </w:divBdr>
    </w:div>
    <w:div w:id="1720082344">
      <w:bodyDiv w:val="1"/>
      <w:marLeft w:val="0"/>
      <w:marRight w:val="0"/>
      <w:marTop w:val="0"/>
      <w:marBottom w:val="0"/>
      <w:divBdr>
        <w:top w:val="none" w:sz="0" w:space="0" w:color="auto"/>
        <w:left w:val="none" w:sz="0" w:space="0" w:color="auto"/>
        <w:bottom w:val="none" w:sz="0" w:space="0" w:color="auto"/>
        <w:right w:val="none" w:sz="0" w:space="0" w:color="auto"/>
      </w:divBdr>
    </w:div>
    <w:div w:id="1730376426">
      <w:bodyDiv w:val="1"/>
      <w:marLeft w:val="0"/>
      <w:marRight w:val="0"/>
      <w:marTop w:val="0"/>
      <w:marBottom w:val="0"/>
      <w:divBdr>
        <w:top w:val="none" w:sz="0" w:space="0" w:color="auto"/>
        <w:left w:val="none" w:sz="0" w:space="0" w:color="auto"/>
        <w:bottom w:val="none" w:sz="0" w:space="0" w:color="auto"/>
        <w:right w:val="none" w:sz="0" w:space="0" w:color="auto"/>
      </w:divBdr>
    </w:div>
    <w:div w:id="1734620650">
      <w:bodyDiv w:val="1"/>
      <w:marLeft w:val="0"/>
      <w:marRight w:val="0"/>
      <w:marTop w:val="0"/>
      <w:marBottom w:val="0"/>
      <w:divBdr>
        <w:top w:val="none" w:sz="0" w:space="0" w:color="auto"/>
        <w:left w:val="none" w:sz="0" w:space="0" w:color="auto"/>
        <w:bottom w:val="none" w:sz="0" w:space="0" w:color="auto"/>
        <w:right w:val="none" w:sz="0" w:space="0" w:color="auto"/>
      </w:divBdr>
    </w:div>
    <w:div w:id="1749963614">
      <w:bodyDiv w:val="1"/>
      <w:marLeft w:val="0"/>
      <w:marRight w:val="0"/>
      <w:marTop w:val="0"/>
      <w:marBottom w:val="0"/>
      <w:divBdr>
        <w:top w:val="none" w:sz="0" w:space="0" w:color="auto"/>
        <w:left w:val="none" w:sz="0" w:space="0" w:color="auto"/>
        <w:bottom w:val="none" w:sz="0" w:space="0" w:color="auto"/>
        <w:right w:val="none" w:sz="0" w:space="0" w:color="auto"/>
      </w:divBdr>
    </w:div>
    <w:div w:id="1750038027">
      <w:bodyDiv w:val="1"/>
      <w:marLeft w:val="0"/>
      <w:marRight w:val="0"/>
      <w:marTop w:val="0"/>
      <w:marBottom w:val="0"/>
      <w:divBdr>
        <w:top w:val="none" w:sz="0" w:space="0" w:color="auto"/>
        <w:left w:val="none" w:sz="0" w:space="0" w:color="auto"/>
        <w:bottom w:val="none" w:sz="0" w:space="0" w:color="auto"/>
        <w:right w:val="none" w:sz="0" w:space="0" w:color="auto"/>
      </w:divBdr>
    </w:div>
    <w:div w:id="1817648795">
      <w:bodyDiv w:val="1"/>
      <w:marLeft w:val="0"/>
      <w:marRight w:val="0"/>
      <w:marTop w:val="0"/>
      <w:marBottom w:val="0"/>
      <w:divBdr>
        <w:top w:val="none" w:sz="0" w:space="0" w:color="auto"/>
        <w:left w:val="none" w:sz="0" w:space="0" w:color="auto"/>
        <w:bottom w:val="none" w:sz="0" w:space="0" w:color="auto"/>
        <w:right w:val="none" w:sz="0" w:space="0" w:color="auto"/>
      </w:divBdr>
    </w:div>
    <w:div w:id="1825899187">
      <w:bodyDiv w:val="1"/>
      <w:marLeft w:val="0"/>
      <w:marRight w:val="0"/>
      <w:marTop w:val="0"/>
      <w:marBottom w:val="0"/>
      <w:divBdr>
        <w:top w:val="none" w:sz="0" w:space="0" w:color="auto"/>
        <w:left w:val="none" w:sz="0" w:space="0" w:color="auto"/>
        <w:bottom w:val="none" w:sz="0" w:space="0" w:color="auto"/>
        <w:right w:val="none" w:sz="0" w:space="0" w:color="auto"/>
      </w:divBdr>
    </w:div>
    <w:div w:id="1912082275">
      <w:bodyDiv w:val="1"/>
      <w:marLeft w:val="0"/>
      <w:marRight w:val="0"/>
      <w:marTop w:val="0"/>
      <w:marBottom w:val="0"/>
      <w:divBdr>
        <w:top w:val="none" w:sz="0" w:space="0" w:color="auto"/>
        <w:left w:val="none" w:sz="0" w:space="0" w:color="auto"/>
        <w:bottom w:val="none" w:sz="0" w:space="0" w:color="auto"/>
        <w:right w:val="none" w:sz="0" w:space="0" w:color="auto"/>
      </w:divBdr>
    </w:div>
    <w:div w:id="1937900789">
      <w:bodyDiv w:val="1"/>
      <w:marLeft w:val="0"/>
      <w:marRight w:val="0"/>
      <w:marTop w:val="0"/>
      <w:marBottom w:val="0"/>
      <w:divBdr>
        <w:top w:val="none" w:sz="0" w:space="0" w:color="auto"/>
        <w:left w:val="none" w:sz="0" w:space="0" w:color="auto"/>
        <w:bottom w:val="none" w:sz="0" w:space="0" w:color="auto"/>
        <w:right w:val="none" w:sz="0" w:space="0" w:color="auto"/>
      </w:divBdr>
    </w:div>
    <w:div w:id="1952711005">
      <w:bodyDiv w:val="1"/>
      <w:marLeft w:val="0"/>
      <w:marRight w:val="0"/>
      <w:marTop w:val="0"/>
      <w:marBottom w:val="0"/>
      <w:divBdr>
        <w:top w:val="none" w:sz="0" w:space="0" w:color="auto"/>
        <w:left w:val="none" w:sz="0" w:space="0" w:color="auto"/>
        <w:bottom w:val="none" w:sz="0" w:space="0" w:color="auto"/>
        <w:right w:val="none" w:sz="0" w:space="0" w:color="auto"/>
      </w:divBdr>
    </w:div>
    <w:div w:id="1971936996">
      <w:bodyDiv w:val="1"/>
      <w:marLeft w:val="0"/>
      <w:marRight w:val="0"/>
      <w:marTop w:val="0"/>
      <w:marBottom w:val="0"/>
      <w:divBdr>
        <w:top w:val="none" w:sz="0" w:space="0" w:color="auto"/>
        <w:left w:val="none" w:sz="0" w:space="0" w:color="auto"/>
        <w:bottom w:val="none" w:sz="0" w:space="0" w:color="auto"/>
        <w:right w:val="none" w:sz="0" w:space="0" w:color="auto"/>
      </w:divBdr>
    </w:div>
    <w:div w:id="1992519556">
      <w:bodyDiv w:val="1"/>
      <w:marLeft w:val="0"/>
      <w:marRight w:val="0"/>
      <w:marTop w:val="0"/>
      <w:marBottom w:val="0"/>
      <w:divBdr>
        <w:top w:val="none" w:sz="0" w:space="0" w:color="auto"/>
        <w:left w:val="none" w:sz="0" w:space="0" w:color="auto"/>
        <w:bottom w:val="none" w:sz="0" w:space="0" w:color="auto"/>
        <w:right w:val="none" w:sz="0" w:space="0" w:color="auto"/>
      </w:divBdr>
    </w:div>
    <w:div w:id="2003703885">
      <w:bodyDiv w:val="1"/>
      <w:marLeft w:val="0"/>
      <w:marRight w:val="0"/>
      <w:marTop w:val="0"/>
      <w:marBottom w:val="0"/>
      <w:divBdr>
        <w:top w:val="none" w:sz="0" w:space="0" w:color="auto"/>
        <w:left w:val="none" w:sz="0" w:space="0" w:color="auto"/>
        <w:bottom w:val="none" w:sz="0" w:space="0" w:color="auto"/>
        <w:right w:val="none" w:sz="0" w:space="0" w:color="auto"/>
      </w:divBdr>
    </w:div>
    <w:div w:id="2027712042">
      <w:bodyDiv w:val="1"/>
      <w:marLeft w:val="0"/>
      <w:marRight w:val="0"/>
      <w:marTop w:val="0"/>
      <w:marBottom w:val="0"/>
      <w:divBdr>
        <w:top w:val="none" w:sz="0" w:space="0" w:color="auto"/>
        <w:left w:val="none" w:sz="0" w:space="0" w:color="auto"/>
        <w:bottom w:val="none" w:sz="0" w:space="0" w:color="auto"/>
        <w:right w:val="none" w:sz="0" w:space="0" w:color="auto"/>
      </w:divBdr>
      <w:divsChild>
        <w:div w:id="202855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90632">
              <w:marLeft w:val="0"/>
              <w:marRight w:val="0"/>
              <w:marTop w:val="0"/>
              <w:marBottom w:val="0"/>
              <w:divBdr>
                <w:top w:val="none" w:sz="0" w:space="0" w:color="auto"/>
                <w:left w:val="none" w:sz="0" w:space="0" w:color="auto"/>
                <w:bottom w:val="none" w:sz="0" w:space="0" w:color="auto"/>
                <w:right w:val="none" w:sz="0" w:space="0" w:color="auto"/>
              </w:divBdr>
              <w:divsChild>
                <w:div w:id="68001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6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5055">
      <w:bodyDiv w:val="1"/>
      <w:marLeft w:val="0"/>
      <w:marRight w:val="0"/>
      <w:marTop w:val="0"/>
      <w:marBottom w:val="0"/>
      <w:divBdr>
        <w:top w:val="none" w:sz="0" w:space="0" w:color="auto"/>
        <w:left w:val="none" w:sz="0" w:space="0" w:color="auto"/>
        <w:bottom w:val="none" w:sz="0" w:space="0" w:color="auto"/>
        <w:right w:val="none" w:sz="0" w:space="0" w:color="auto"/>
      </w:divBdr>
    </w:div>
    <w:div w:id="2102023055">
      <w:bodyDiv w:val="1"/>
      <w:marLeft w:val="0"/>
      <w:marRight w:val="0"/>
      <w:marTop w:val="0"/>
      <w:marBottom w:val="0"/>
      <w:divBdr>
        <w:top w:val="none" w:sz="0" w:space="0" w:color="auto"/>
        <w:left w:val="none" w:sz="0" w:space="0" w:color="auto"/>
        <w:bottom w:val="none" w:sz="0" w:space="0" w:color="auto"/>
        <w:right w:val="none" w:sz="0" w:space="0" w:color="auto"/>
      </w:divBdr>
      <w:divsChild>
        <w:div w:id="517306189">
          <w:marLeft w:val="0"/>
          <w:marRight w:val="0"/>
          <w:marTop w:val="225"/>
          <w:marBottom w:val="225"/>
          <w:divBdr>
            <w:top w:val="none" w:sz="0" w:space="0" w:color="auto"/>
            <w:left w:val="none" w:sz="0" w:space="0" w:color="auto"/>
            <w:bottom w:val="none" w:sz="0" w:space="0" w:color="auto"/>
            <w:right w:val="none" w:sz="0" w:space="0" w:color="auto"/>
          </w:divBdr>
          <w:divsChild>
            <w:div w:id="1157840551">
              <w:marLeft w:val="0"/>
              <w:marRight w:val="0"/>
              <w:marTop w:val="0"/>
              <w:marBottom w:val="0"/>
              <w:divBdr>
                <w:top w:val="none" w:sz="0" w:space="0" w:color="auto"/>
                <w:left w:val="none" w:sz="0" w:space="0" w:color="auto"/>
                <w:bottom w:val="none" w:sz="0" w:space="0" w:color="auto"/>
                <w:right w:val="none" w:sz="0" w:space="0" w:color="auto"/>
              </w:divBdr>
              <w:divsChild>
                <w:div w:id="1273243069">
                  <w:marLeft w:val="0"/>
                  <w:marRight w:val="0"/>
                  <w:marTop w:val="0"/>
                  <w:marBottom w:val="0"/>
                  <w:divBdr>
                    <w:top w:val="none" w:sz="0" w:space="0" w:color="auto"/>
                    <w:left w:val="none" w:sz="0" w:space="0" w:color="auto"/>
                    <w:bottom w:val="none" w:sz="0" w:space="0" w:color="auto"/>
                    <w:right w:val="none" w:sz="0" w:space="0" w:color="auto"/>
                  </w:divBdr>
                  <w:divsChild>
                    <w:div w:id="2390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arrow.dit.ie/aaschsslcon/2/" TargetMode="External"/><Relationship Id="rId2" Type="http://schemas.openxmlformats.org/officeDocument/2006/relationships/hyperlink" Target="https://www.who.int/violence_injury_prevention/violence/global_campaign/en/chap6.pdf" TargetMode="External"/><Relationship Id="rId1" Type="http://schemas.openxmlformats.org/officeDocument/2006/relationships/hyperlink" Target="https://busquedas.elperuano.pe/normaslegales/ley-que-modifica-el-codigo-penal-y-el-codigo-de-ejecucion-pe-ley-n-30838-1677448-1/" TargetMode="External"/><Relationship Id="rId5" Type="http://schemas.openxmlformats.org/officeDocument/2006/relationships/hyperlink" Target="http://www.rtve.es/noticias/20181004/rompo-silencio-grito-victimas-abuso-sexual-infancia/1812245.shtml" TargetMode="External"/><Relationship Id="rId4" Type="http://schemas.openxmlformats.org/officeDocument/2006/relationships/hyperlink" Target="https://www.unicef.es/noticia/violencia-contra-los-ninos-nuevo-informe-ocultos-plena-l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Columna2</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Hoja1!$A$3:$A$6</c:f>
              <c:numCache>
                <c:formatCode>General</c:formatCode>
                <c:ptCount val="4"/>
                <c:pt idx="0">
                  <c:v>2015</c:v>
                </c:pt>
                <c:pt idx="1">
                  <c:v>2016</c:v>
                </c:pt>
                <c:pt idx="2">
                  <c:v>2017</c:v>
                </c:pt>
                <c:pt idx="3">
                  <c:v>2018</c:v>
                </c:pt>
              </c:numCache>
            </c:numRef>
          </c:cat>
          <c:val>
            <c:numRef>
              <c:f>Hoja1!$B$3:$B$6</c:f>
              <c:numCache>
                <c:formatCode>#,##0</c:formatCode>
                <c:ptCount val="4"/>
                <c:pt idx="0">
                  <c:v>19181</c:v>
                </c:pt>
                <c:pt idx="1">
                  <c:v>18416</c:v>
                </c:pt>
                <c:pt idx="2">
                  <c:v>20663</c:v>
                </c:pt>
                <c:pt idx="3">
                  <c:v>22794</c:v>
                </c:pt>
              </c:numCache>
            </c:numRef>
          </c:val>
          <c:extLst xmlns:c16r2="http://schemas.microsoft.com/office/drawing/2015/06/chart">
            <c:ext xmlns:c16="http://schemas.microsoft.com/office/drawing/2014/chart" uri="{C3380CC4-5D6E-409C-BE32-E72D297353CC}">
              <c16:uniqueId val="{00000000-1BC7-4C1F-B0E4-66FF06D0744A}"/>
            </c:ext>
          </c:extLst>
        </c:ser>
        <c:dLbls>
          <c:showLegendKey val="0"/>
          <c:showVal val="0"/>
          <c:showCatName val="0"/>
          <c:showSerName val="0"/>
          <c:showPercent val="0"/>
          <c:showBubbleSize val="0"/>
        </c:dLbls>
        <c:gapWidth val="219"/>
        <c:overlap val="-27"/>
        <c:axId val="118414512"/>
        <c:axId val="118416688"/>
      </c:barChart>
      <c:catAx>
        <c:axId val="11841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Century Gothic" panose="020B0502020202020204" pitchFamily="34" charset="0"/>
                <a:ea typeface="+mn-ea"/>
                <a:cs typeface="+mn-cs"/>
              </a:defRPr>
            </a:pPr>
            <a:endParaRPr lang="es-CO"/>
          </a:p>
        </c:txPr>
        <c:crossAx val="118416688"/>
        <c:crosses val="autoZero"/>
        <c:auto val="1"/>
        <c:lblAlgn val="ctr"/>
        <c:lblOffset val="100"/>
        <c:noMultiLvlLbl val="0"/>
      </c:catAx>
      <c:valAx>
        <c:axId val="118416688"/>
        <c:scaling>
          <c:orientation val="minMax"/>
        </c:scaling>
        <c:delete val="1"/>
        <c:axPos val="l"/>
        <c:numFmt formatCode="#,##0" sourceLinked="1"/>
        <c:majorTickMark val="none"/>
        <c:minorTickMark val="none"/>
        <c:tickLblPos val="nextTo"/>
        <c:crossAx val="118414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5F95B-A4A6-4CF8-840C-AA1EF5F4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8719</Words>
  <Characters>47960</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VALENZUELA</dc:creator>
  <cp:lastModifiedBy>maria camila vargas silva utl.HR Adriana Magali Matiz</cp:lastModifiedBy>
  <cp:revision>2</cp:revision>
  <cp:lastPrinted>2019-11-25T20:10:00Z</cp:lastPrinted>
  <dcterms:created xsi:type="dcterms:W3CDTF">2019-11-26T16:36:00Z</dcterms:created>
  <dcterms:modified xsi:type="dcterms:W3CDTF">2019-11-26T16:36:00Z</dcterms:modified>
</cp:coreProperties>
</file>